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852DB87" w:rsidR="00121EB1" w:rsidRPr="0049603D" w:rsidRDefault="00190997" w:rsidP="008F6D2C">
            <w:pPr>
              <w:pStyle w:val="DocumentTitle"/>
              <w:tabs>
                <w:tab w:val="left" w:pos="1074"/>
              </w:tabs>
              <w:spacing w:before="0" w:after="0"/>
              <w:rPr>
                <w:sz w:val="18"/>
                <w:szCs w:val="20"/>
              </w:rPr>
            </w:pPr>
            <w:r w:rsidRPr="0049603D">
              <w:rPr>
                <w:sz w:val="18"/>
                <w:szCs w:val="20"/>
              </w:rPr>
              <w:t>pCODR 101</w:t>
            </w:r>
            <w:r w:rsidR="008F6D2C">
              <w:rPr>
                <w:sz w:val="18"/>
                <w:szCs w:val="20"/>
              </w:rPr>
              <w:t>70</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463873AD" w14:textId="072B2451" w:rsidR="008F6D2C" w:rsidRPr="0049603D" w:rsidRDefault="008F6D2C" w:rsidP="008F6D2C">
            <w:pPr>
              <w:pStyle w:val="DocumentTitle"/>
              <w:tabs>
                <w:tab w:val="left" w:pos="1074"/>
              </w:tabs>
              <w:spacing w:before="0" w:after="0"/>
              <w:rPr>
                <w:sz w:val="18"/>
                <w:szCs w:val="20"/>
              </w:rPr>
            </w:pPr>
            <w:r w:rsidRPr="008F6D2C">
              <w:rPr>
                <w:sz w:val="18"/>
                <w:szCs w:val="20"/>
              </w:rPr>
              <w:t xml:space="preserve">Nelarabine (Atriance) </w:t>
            </w:r>
          </w:p>
          <w:p w14:paraId="354CD25A" w14:textId="794D4F98" w:rsidR="00F369F8" w:rsidRPr="0049603D" w:rsidRDefault="00F369F8" w:rsidP="008F6D2C">
            <w:pPr>
              <w:pStyle w:val="DocumentTitle"/>
              <w:tabs>
                <w:tab w:val="left" w:pos="1074"/>
              </w:tabs>
              <w:spacing w:before="0" w:after="0"/>
              <w:rPr>
                <w:sz w:val="18"/>
                <w:szCs w:val="20"/>
              </w:rPr>
            </w:pP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B979DAD" w:rsidR="00190997" w:rsidRPr="00B42C93" w:rsidRDefault="008F6D2C" w:rsidP="00185B25">
            <w:pPr>
              <w:rPr>
                <w:rFonts w:ascii="Arial" w:eastAsia="Calibri" w:hAnsi="Arial" w:cs="Arial"/>
                <w:b/>
                <w:sz w:val="18"/>
                <w:highlight w:val="yellow"/>
              </w:rPr>
            </w:pPr>
            <w:r w:rsidRPr="008F6D2C">
              <w:rPr>
                <w:rFonts w:ascii="Arial" w:eastAsia="Calibri" w:hAnsi="Arial" w:cs="Arial"/>
                <w:b/>
                <w:sz w:val="18"/>
              </w:rPr>
              <w:t>Acute Lymphoblastic Leukemia (ALL)</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33C790A7" w:rsidR="00F369F8" w:rsidRPr="00B42C93" w:rsidRDefault="008F6D2C" w:rsidP="008F6D2C">
            <w:pPr>
              <w:pStyle w:val="DocumentTitle"/>
              <w:tabs>
                <w:tab w:val="left" w:pos="1074"/>
              </w:tabs>
              <w:spacing w:before="0" w:after="0"/>
              <w:rPr>
                <w:sz w:val="18"/>
                <w:szCs w:val="20"/>
              </w:rPr>
            </w:pPr>
            <w:r w:rsidRPr="008F6D2C">
              <w:rPr>
                <w:sz w:val="18"/>
                <w:szCs w:val="20"/>
              </w:rPr>
              <w:t>Individuals, aged 1–30 years, newly diagnosed with intermediate- or high-risk (CNS1</w:t>
            </w:r>
            <w:r>
              <w:rPr>
                <w:sz w:val="18"/>
                <w:szCs w:val="20"/>
              </w:rPr>
              <w:t xml:space="preserve"> or CNS 2) T-ALL, stages II-IV, </w:t>
            </w:r>
            <w:r w:rsidRPr="008F6D2C">
              <w:rPr>
                <w:sz w:val="18"/>
                <w:szCs w:val="20"/>
              </w:rPr>
              <w:t>during upfront therapy.</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9C130FD" w14:textId="77777777" w:rsidR="008F6D2C" w:rsidRPr="008F6D2C" w:rsidRDefault="008F6D2C" w:rsidP="004102F9">
            <w:pPr>
              <w:pStyle w:val="Heading3"/>
              <w:numPr>
                <w:ilvl w:val="0"/>
                <w:numId w:val="45"/>
              </w:numPr>
              <w:outlineLvl w:val="2"/>
              <w:rPr>
                <w:rFonts w:ascii="Arial" w:hAnsi="Arial" w:cs="Arial"/>
                <w:color w:val="000000"/>
                <w:sz w:val="18"/>
                <w:szCs w:val="18"/>
              </w:rPr>
            </w:pPr>
            <w:r w:rsidRPr="008F6D2C">
              <w:rPr>
                <w:rFonts w:ascii="Arial" w:hAnsi="Arial" w:cs="Arial"/>
                <w:bCs/>
                <w:color w:val="000000"/>
                <w:sz w:val="18"/>
                <w:szCs w:val="18"/>
              </w:rPr>
              <w:t>COG-AALL0434 (</w:t>
            </w:r>
            <w:hyperlink r:id="rId14" w:tgtFrame="_blank" w:history="1">
              <w:r w:rsidRPr="008F6D2C">
                <w:rPr>
                  <w:rStyle w:val="Hyperlink"/>
                  <w:rFonts w:ascii="Arial" w:hAnsi="Arial" w:cs="Arial"/>
                  <w:bCs/>
                  <w:sz w:val="18"/>
                  <w:szCs w:val="18"/>
                  <w:bdr w:val="none" w:sz="0" w:space="0" w:color="auto" w:frame="1"/>
                </w:rPr>
                <w:t>NCT00408005</w:t>
              </w:r>
            </w:hyperlink>
            <w:r w:rsidRPr="008F6D2C">
              <w:rPr>
                <w:rFonts w:ascii="Arial" w:hAnsi="Arial" w:cs="Arial"/>
                <w:bCs/>
                <w:color w:val="000000"/>
                <w:sz w:val="18"/>
                <w:szCs w:val="18"/>
              </w:rPr>
              <w:t>)</w:t>
            </w:r>
          </w:p>
          <w:p w14:paraId="7F2DA63A" w14:textId="77777777" w:rsidR="008F6D2C" w:rsidRPr="008F6D2C" w:rsidRDefault="00434B86" w:rsidP="004102F9">
            <w:pPr>
              <w:pStyle w:val="Heading3"/>
              <w:numPr>
                <w:ilvl w:val="0"/>
                <w:numId w:val="45"/>
              </w:numPr>
              <w:outlineLvl w:val="2"/>
              <w:rPr>
                <w:rFonts w:ascii="Arial" w:hAnsi="Arial" w:cs="Arial"/>
                <w:color w:val="000000"/>
                <w:sz w:val="18"/>
                <w:szCs w:val="18"/>
              </w:rPr>
            </w:pPr>
            <w:hyperlink r:id="rId15" w:tgtFrame="_blank" w:history="1">
              <w:r w:rsidR="008F6D2C" w:rsidRPr="008F6D2C">
                <w:rPr>
                  <w:rStyle w:val="Hyperlink"/>
                  <w:rFonts w:ascii="Arial" w:hAnsi="Arial" w:cs="Arial"/>
                  <w:bCs/>
                  <w:sz w:val="18"/>
                  <w:szCs w:val="18"/>
                  <w:bdr w:val="none" w:sz="0" w:space="0" w:color="auto" w:frame="1"/>
                </w:rPr>
                <w:t>Dunsmore et al, ASCO 2018 Abstract</w:t>
              </w:r>
            </w:hyperlink>
          </w:p>
          <w:p w14:paraId="52AF8FBD" w14:textId="32BF0047" w:rsidR="00C771B8" w:rsidRPr="008F6D2C" w:rsidRDefault="00434B86" w:rsidP="004102F9">
            <w:pPr>
              <w:pStyle w:val="Heading3"/>
              <w:numPr>
                <w:ilvl w:val="0"/>
                <w:numId w:val="45"/>
              </w:numPr>
              <w:outlineLvl w:val="2"/>
              <w:rPr>
                <w:rFonts w:ascii="Arial" w:hAnsi="Arial" w:cs="Arial"/>
                <w:b w:val="0"/>
                <w:color w:val="000000"/>
                <w:sz w:val="21"/>
                <w:szCs w:val="21"/>
              </w:rPr>
            </w:pPr>
            <w:hyperlink r:id="rId16" w:tgtFrame="_blank" w:history="1">
              <w:r w:rsidR="008F6D2C" w:rsidRPr="008F6D2C">
                <w:rPr>
                  <w:rStyle w:val="Hyperlink"/>
                  <w:rFonts w:ascii="Arial" w:hAnsi="Arial" w:cs="Arial"/>
                  <w:bCs/>
                  <w:sz w:val="18"/>
                  <w:szCs w:val="18"/>
                  <w:bdr w:val="none" w:sz="0" w:space="0" w:color="auto" w:frame="1"/>
                </w:rPr>
                <w:t>Winter et al, Pediatr Blood Cancer March 2015</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4A8535D5"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04B8ECE" w14:textId="77777777" w:rsidR="00185B25" w:rsidRDefault="008F6D2C" w:rsidP="004102F9">
            <w:pPr>
              <w:pStyle w:val="DocumentTitle"/>
              <w:tabs>
                <w:tab w:val="left" w:pos="1074"/>
              </w:tabs>
              <w:spacing w:before="0" w:after="0"/>
              <w:rPr>
                <w:sz w:val="18"/>
                <w:szCs w:val="18"/>
              </w:rPr>
            </w:pPr>
            <w:r>
              <w:rPr>
                <w:sz w:val="18"/>
                <w:szCs w:val="18"/>
              </w:rPr>
              <w:t>March 27, 2018</w:t>
            </w:r>
          </w:p>
          <w:p w14:paraId="547CC765" w14:textId="0B83BF42" w:rsidR="008F6D2C" w:rsidRPr="008F6D2C" w:rsidRDefault="00434B86" w:rsidP="004102F9">
            <w:pPr>
              <w:pStyle w:val="DocumentTitle"/>
              <w:tabs>
                <w:tab w:val="left" w:pos="1074"/>
              </w:tabs>
              <w:spacing w:after="0"/>
              <w:rPr>
                <w:sz w:val="18"/>
                <w:szCs w:val="18"/>
              </w:rPr>
            </w:pPr>
            <w:hyperlink r:id="rId17" w:history="1">
              <w:r w:rsidR="008F6D2C" w:rsidRPr="008F6D2C">
                <w:rPr>
                  <w:rStyle w:val="Hyperlink"/>
                  <w:sz w:val="18"/>
                  <w:szCs w:val="18"/>
                </w:rPr>
                <w:t>for the treatment of patients with T-cell acute lymphoblastic leukemia and T-cell lymphoblastic lymphoma whose disease has not responded to or has relapsed following treatment with at least two chemotherapy regimens.</w:t>
              </w:r>
            </w:hyperlink>
          </w:p>
        </w:tc>
        <w:bookmarkStart w:id="0" w:name="_GoBack"/>
        <w:bookmarkEnd w:id="0"/>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5F3BE3C0"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686DF7B3" w14:textId="5DC47D72" w:rsidR="008F6D2C" w:rsidRDefault="008F6D2C" w:rsidP="004102F9">
            <w:pPr>
              <w:pStyle w:val="DocumentTitle"/>
              <w:tabs>
                <w:tab w:val="left" w:pos="1074"/>
              </w:tabs>
              <w:spacing w:after="0"/>
              <w:rPr>
                <w:sz w:val="18"/>
                <w:szCs w:val="18"/>
              </w:rPr>
            </w:pPr>
            <w:r>
              <w:rPr>
                <w:sz w:val="18"/>
                <w:szCs w:val="18"/>
              </w:rPr>
              <w:t>December, 2011</w:t>
            </w:r>
          </w:p>
          <w:p w14:paraId="2EE07483" w14:textId="7F1F2226" w:rsidR="00185B25" w:rsidRPr="008F6D2C" w:rsidRDefault="00434B86" w:rsidP="004102F9">
            <w:pPr>
              <w:pStyle w:val="DocumentTitle"/>
              <w:tabs>
                <w:tab w:val="left" w:pos="1074"/>
              </w:tabs>
              <w:spacing w:after="0"/>
              <w:rPr>
                <w:sz w:val="18"/>
                <w:szCs w:val="18"/>
              </w:rPr>
            </w:pPr>
            <w:hyperlink r:id="rId18" w:history="1">
              <w:r w:rsidR="008F6D2C" w:rsidRPr="008F6D2C">
                <w:rPr>
                  <w:rStyle w:val="Hyperlink"/>
                  <w:sz w:val="18"/>
                  <w:szCs w:val="18"/>
                </w:rPr>
                <w:t>for the treatment of patients with T-cell acute lymphoblastic leukemia and T-cell lymphoblastic lymphoma whose disease has not responded to or has relapsed following treatment with at least two chemotherapy regimens.</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0E56FD4E"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7A59BB2" w14:textId="4752BEBA" w:rsidR="008F6D2C" w:rsidRDefault="008F6D2C" w:rsidP="004102F9">
            <w:pPr>
              <w:pStyle w:val="DocumentTitle"/>
              <w:tabs>
                <w:tab w:val="left" w:pos="1074"/>
              </w:tabs>
              <w:spacing w:after="0"/>
              <w:rPr>
                <w:sz w:val="18"/>
                <w:szCs w:val="18"/>
              </w:rPr>
            </w:pPr>
            <w:r>
              <w:rPr>
                <w:sz w:val="18"/>
                <w:szCs w:val="18"/>
              </w:rPr>
              <w:t>May 4, 2018</w:t>
            </w:r>
          </w:p>
          <w:p w14:paraId="4382D7E4" w14:textId="0A81275E" w:rsidR="00DB3BC3" w:rsidRPr="008F6D2C" w:rsidRDefault="00434B86" w:rsidP="004102F9">
            <w:pPr>
              <w:pStyle w:val="DocumentTitle"/>
              <w:tabs>
                <w:tab w:val="left" w:pos="1074"/>
              </w:tabs>
              <w:spacing w:after="0"/>
              <w:rPr>
                <w:sz w:val="18"/>
                <w:szCs w:val="18"/>
              </w:rPr>
            </w:pPr>
            <w:hyperlink r:id="rId19" w:history="1">
              <w:r w:rsidR="008F6D2C" w:rsidRPr="008F6D2C">
                <w:rPr>
                  <w:rStyle w:val="Hyperlink"/>
                  <w:sz w:val="18"/>
                  <w:szCs w:val="18"/>
                </w:rPr>
                <w:t>for the treatment of patients with T-cell acute lymphoblastic leukaemia (T-ALL) and T-cell lymphoblastic lymphoma (T-LBL) whose disease has not responded to or has relapsed following treatment with at least two chemotherapy regimens.</w:t>
              </w:r>
            </w:hyperlink>
            <w:r w:rsidR="008F6D2C">
              <w:rPr>
                <w:sz w:val="18"/>
                <w:szCs w:val="18"/>
              </w:rPr>
              <w:t xml:space="preserve">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EE5915" w:rsidRDefault="003100FC" w:rsidP="00EB0EEF">
            <w:pPr>
              <w:pStyle w:val="DocumentTitle"/>
              <w:tabs>
                <w:tab w:val="left" w:pos="1074"/>
              </w:tabs>
              <w:spacing w:before="0" w:after="0"/>
              <w:rPr>
                <w:color w:val="FFFFFF" w:themeColor="background1"/>
                <w:sz w:val="18"/>
                <w:szCs w:val="20"/>
              </w:rPr>
            </w:pPr>
            <w:r w:rsidRPr="00EE5915">
              <w:rPr>
                <w:color w:val="FFFFFF" w:themeColor="background1"/>
                <w:sz w:val="18"/>
                <w:szCs w:val="20"/>
              </w:rPr>
              <w:t>Practice Guidelines</w:t>
            </w:r>
            <w:r w:rsidR="00D47251" w:rsidRPr="00EE5915">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7F40818" w14:textId="34F3D1F3" w:rsidR="0049603D" w:rsidRPr="004102F9" w:rsidRDefault="00434B86" w:rsidP="004102F9">
            <w:pPr>
              <w:pStyle w:val="DocumentTitle"/>
              <w:numPr>
                <w:ilvl w:val="0"/>
                <w:numId w:val="44"/>
              </w:numPr>
              <w:tabs>
                <w:tab w:val="left" w:pos="1074"/>
              </w:tabs>
              <w:spacing w:before="0" w:after="0"/>
              <w:rPr>
                <w:sz w:val="18"/>
                <w:szCs w:val="18"/>
              </w:rPr>
            </w:pPr>
            <w:hyperlink r:id="rId20" w:history="1">
              <w:r w:rsidR="004102F9" w:rsidRPr="004102F9">
                <w:rPr>
                  <w:rStyle w:val="Hyperlink"/>
                  <w:sz w:val="18"/>
                  <w:szCs w:val="18"/>
                </w:rPr>
                <w:t>NCCN Acute Lymphoblastic Leukemia Guidelines.</w:t>
              </w:r>
            </w:hyperlink>
          </w:p>
          <w:p w14:paraId="17E99E46" w14:textId="09DEFD2F" w:rsidR="00EE5915" w:rsidRPr="00EE5915" w:rsidRDefault="004102F9" w:rsidP="004102F9">
            <w:pPr>
              <w:pStyle w:val="DocumentTitle"/>
              <w:numPr>
                <w:ilvl w:val="0"/>
                <w:numId w:val="44"/>
              </w:numPr>
              <w:tabs>
                <w:tab w:val="left" w:pos="1074"/>
              </w:tabs>
              <w:spacing w:before="0" w:after="0"/>
              <w:rPr>
                <w:sz w:val="18"/>
                <w:szCs w:val="18"/>
              </w:rPr>
            </w:pPr>
            <w:r w:rsidRPr="004102F9">
              <w:rPr>
                <w:sz w:val="18"/>
                <w:szCs w:val="18"/>
              </w:rPr>
              <w:t>Acute Lymphoblastic Leukaemia: ESMO Clinical Practice Guidelines</w:t>
            </w:r>
            <w:r>
              <w:rPr>
                <w:sz w:val="18"/>
                <w:szCs w:val="18"/>
              </w:rPr>
              <w:t xml:space="preserve">. </w:t>
            </w:r>
            <w:hyperlink r:id="rId21" w:history="1">
              <w:r w:rsidRPr="004102F9">
                <w:rPr>
                  <w:rStyle w:val="Hyperlink"/>
                  <w:sz w:val="18"/>
                  <w:szCs w:val="18"/>
                </w:rPr>
                <w:t>Ann Oncol (2016) 27 (suppl 5): v69-v82.</w:t>
              </w:r>
            </w:hyperlink>
            <w:r>
              <w:rPr>
                <w:sz w:val="18"/>
                <w:szCs w:val="18"/>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36EA030D" w:rsidR="00B42C93" w:rsidRPr="00EE5915" w:rsidRDefault="008F6D2C" w:rsidP="00B42C93">
            <w:pPr>
              <w:rPr>
                <w:rFonts w:ascii="Arial" w:hAnsi="Arial" w:cs="Arial"/>
                <w:b/>
              </w:rPr>
            </w:pPr>
            <w:r w:rsidRPr="00434B86">
              <w:rPr>
                <w:rFonts w:ascii="Arial" w:eastAsia="Calibri" w:hAnsi="Arial" w:cs="Arial"/>
                <w:b/>
                <w:sz w:val="18"/>
              </w:rPr>
              <w:t>PAG identified for young patients (aged 1-30 years), newly diagnosed with intermediate- or high-risk (CNS1 or CNS2) T-ALL, stages II-IV, current treatments include up-to-date COG chemotherapy protocols (e.g., Berlin-Frankfurt-Munster (BFM) based regimen) or active COG clinical trials. In some jurisdictions, patients are referred out of province for treatment.</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1531E63C" w14:textId="26B0D75D" w:rsidR="00434B86" w:rsidRPr="00434B86" w:rsidRDefault="00434B86" w:rsidP="00434B86">
      <w:pPr>
        <w:pStyle w:val="BodyText"/>
        <w:numPr>
          <w:ilvl w:val="0"/>
          <w:numId w:val="41"/>
        </w:numPr>
        <w:spacing w:after="0" w:line="276" w:lineRule="auto"/>
        <w:ind w:left="1170" w:hanging="187"/>
        <w:rPr>
          <w:rFonts w:ascii="Arial" w:hAnsi="Arial" w:cs="Arial"/>
          <w:b/>
          <w:sz w:val="18"/>
          <w:szCs w:val="18"/>
        </w:rPr>
      </w:pPr>
      <w:r w:rsidRPr="00434B86">
        <w:rPr>
          <w:rFonts w:ascii="Arial" w:hAnsi="Arial" w:cs="Arial"/>
          <w:b/>
          <w:sz w:val="18"/>
          <w:szCs w:val="18"/>
        </w:rPr>
        <w:t xml:space="preserve">IMPLEMENTATION QUESTIONS: </w:t>
      </w:r>
      <w:r w:rsidRPr="00434B86">
        <w:rPr>
          <w:rFonts w:ascii="Arial" w:hAnsi="Arial" w:cs="Arial"/>
          <w:b/>
          <w:sz w:val="18"/>
        </w:rPr>
        <w:t>T</w:t>
      </w:r>
      <w:r w:rsidRPr="00434B86">
        <w:rPr>
          <w:rFonts w:ascii="Arial" w:hAnsi="Arial" w:cs="Arial"/>
          <w:b/>
          <w:sz w:val="18"/>
        </w:rPr>
        <w:t>he funding request is for individuals (aged 1-30 years), newly diagnosed with intermediate- or high-risk (CNS1 or CNS2) T-ALL, stages II-IV, during upfront therapy. In clinical practice, is there evidence to use nelarabine for:</w:t>
      </w:r>
    </w:p>
    <w:p w14:paraId="2BB96D3C" w14:textId="77777777" w:rsidR="00434B86" w:rsidRPr="00434B86" w:rsidRDefault="00434B86" w:rsidP="00434B86">
      <w:pPr>
        <w:pStyle w:val="BodyText"/>
        <w:numPr>
          <w:ilvl w:val="1"/>
          <w:numId w:val="41"/>
        </w:numPr>
        <w:spacing w:after="0" w:line="276" w:lineRule="auto"/>
        <w:rPr>
          <w:rFonts w:ascii="Arial" w:hAnsi="Arial" w:cs="Arial"/>
          <w:b/>
          <w:sz w:val="18"/>
          <w:szCs w:val="18"/>
        </w:rPr>
      </w:pPr>
      <w:r w:rsidRPr="00434B86">
        <w:rPr>
          <w:rFonts w:ascii="Arial" w:hAnsi="Arial" w:cs="Arial"/>
          <w:b/>
          <w:sz w:val="18"/>
        </w:rPr>
        <w:t>First-line treatment of T-cell lymphoblastic lymphoma?</w:t>
      </w:r>
    </w:p>
    <w:p w14:paraId="3C4F9F5F" w14:textId="77777777" w:rsidR="00434B86" w:rsidRPr="00434B86" w:rsidRDefault="00434B86" w:rsidP="00434B86">
      <w:pPr>
        <w:pStyle w:val="BodyText"/>
        <w:numPr>
          <w:ilvl w:val="1"/>
          <w:numId w:val="41"/>
        </w:numPr>
        <w:spacing w:after="0" w:line="276" w:lineRule="auto"/>
        <w:rPr>
          <w:rFonts w:ascii="Arial" w:hAnsi="Arial" w:cs="Arial"/>
          <w:b/>
          <w:sz w:val="18"/>
          <w:szCs w:val="18"/>
        </w:rPr>
      </w:pPr>
      <w:r w:rsidRPr="00434B86">
        <w:rPr>
          <w:rFonts w:ascii="Arial" w:hAnsi="Arial" w:cs="Arial"/>
          <w:b/>
          <w:sz w:val="18"/>
        </w:rPr>
        <w:t>Low-risk T-ALL?</w:t>
      </w:r>
    </w:p>
    <w:p w14:paraId="0BE68D9C" w14:textId="55A1DA8C" w:rsidR="00434B86" w:rsidRPr="00434B86" w:rsidRDefault="00434B86" w:rsidP="00434B86">
      <w:pPr>
        <w:pStyle w:val="BodyText"/>
        <w:numPr>
          <w:ilvl w:val="1"/>
          <w:numId w:val="41"/>
        </w:numPr>
        <w:spacing w:after="0" w:line="276" w:lineRule="auto"/>
        <w:rPr>
          <w:rFonts w:ascii="Arial" w:hAnsi="Arial" w:cs="Arial"/>
          <w:b/>
          <w:sz w:val="18"/>
          <w:szCs w:val="18"/>
        </w:rPr>
      </w:pPr>
      <w:r w:rsidRPr="00434B86">
        <w:rPr>
          <w:rFonts w:ascii="Arial" w:hAnsi="Arial" w:cs="Arial"/>
          <w:b/>
          <w:sz w:val="18"/>
        </w:rPr>
        <w:t>With other chemotherapy regimens than BFM?</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434B86"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A1A6EC6" w14:textId="6451C0DB" w:rsidR="005A362F" w:rsidRPr="00434B86" w:rsidRDefault="00364061" w:rsidP="00434B86">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25273641" w14:textId="25F2E0F4" w:rsidR="005A362F" w:rsidRPr="00434B86" w:rsidRDefault="005A362F" w:rsidP="005A362F">
      <w:pPr>
        <w:pStyle w:val="pCODR1Body"/>
        <w:spacing w:after="0" w:line="276" w:lineRule="auto"/>
        <w:ind w:left="360"/>
        <w:rPr>
          <w:rFonts w:ascii="Arial" w:hAnsi="Arial" w:cs="Arial"/>
          <w:b/>
          <w:sz w:val="18"/>
        </w:rPr>
      </w:pPr>
      <w:r w:rsidRPr="00434B86">
        <w:rPr>
          <w:rFonts w:ascii="Arial" w:hAnsi="Arial" w:cs="Arial"/>
          <w:b/>
          <w:sz w:val="18"/>
        </w:rPr>
        <w:t>4.</w:t>
      </w:r>
      <w:r w:rsidR="00434B86" w:rsidRPr="00434B86">
        <w:rPr>
          <w:rFonts w:ascii="Arial" w:hAnsi="Arial" w:cs="Arial"/>
          <w:b/>
          <w:sz w:val="18"/>
        </w:rPr>
        <w:t>1</w:t>
      </w:r>
      <w:r w:rsidRPr="00434B86">
        <w:rPr>
          <w:rFonts w:ascii="Arial" w:hAnsi="Arial" w:cs="Arial"/>
          <w:b/>
          <w:sz w:val="18"/>
        </w:rPr>
        <w:t>.</w:t>
      </w:r>
      <w:r w:rsidRPr="00434B86">
        <w:rPr>
          <w:rFonts w:ascii="Arial" w:hAnsi="Arial" w:cs="Arial"/>
          <w:b/>
          <w:sz w:val="18"/>
        </w:rPr>
        <w:tab/>
      </w:r>
      <w:r w:rsidR="008F6D2C" w:rsidRPr="00434B86">
        <w:rPr>
          <w:rFonts w:ascii="Arial" w:hAnsi="Arial" w:cs="Arial"/>
          <w:b/>
          <w:sz w:val="18"/>
        </w:rPr>
        <w:t>In clinical practice, what definition of intermediate and high risk T-ALL is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2C1ACC" w14:paraId="311D4616" w14:textId="77777777" w:rsidTr="00D3252A">
        <w:trPr>
          <w:trHeight w:val="419"/>
        </w:trPr>
        <w:tc>
          <w:tcPr>
            <w:tcW w:w="10292" w:type="dxa"/>
          </w:tcPr>
          <w:p w14:paraId="6C5918E7" w14:textId="77777777" w:rsidR="005A362F" w:rsidRPr="002C1ACC" w:rsidRDefault="005A362F" w:rsidP="005A362F">
            <w:pPr>
              <w:pStyle w:val="pCODR01AppendixHeader"/>
              <w:spacing w:before="0" w:after="0"/>
              <w:rPr>
                <w:rFonts w:ascii="Arial" w:hAnsi="Arial" w:cs="Arial"/>
                <w:color w:val="FF0000"/>
                <w:spacing w:val="0"/>
              </w:rPr>
            </w:pPr>
          </w:p>
        </w:tc>
      </w:tr>
    </w:tbl>
    <w:p w14:paraId="340DF157" w14:textId="77777777" w:rsidR="005A362F" w:rsidRPr="002C1ACC" w:rsidRDefault="005A362F" w:rsidP="005A362F">
      <w:pPr>
        <w:pStyle w:val="pCODR1Body"/>
        <w:spacing w:after="0" w:line="276" w:lineRule="auto"/>
        <w:rPr>
          <w:rFonts w:ascii="Arial" w:hAnsi="Arial" w:cs="Arial"/>
          <w:color w:val="FF0000"/>
          <w:sz w:val="18"/>
        </w:rPr>
      </w:pPr>
    </w:p>
    <w:p w14:paraId="461B980D" w14:textId="3FE4FA16" w:rsidR="002C1ACC" w:rsidRDefault="002C1ACC">
      <w:pPr>
        <w:rPr>
          <w:rFonts w:ascii="Arial" w:eastAsia="Times New Roman" w:hAnsi="Arial" w:cs="Arial"/>
          <w:b/>
          <w:color w:val="0067B9"/>
          <w:sz w:val="24"/>
          <w:szCs w:val="28"/>
        </w:rPr>
      </w:pPr>
      <w:bookmarkStart w:id="9" w:name="_Toc439923603"/>
      <w:r>
        <w:rPr>
          <w:b/>
          <w:color w:val="0067B9"/>
          <w:sz w:val="24"/>
          <w:szCs w:val="28"/>
        </w:rPr>
        <w:br w:type="page"/>
      </w:r>
    </w:p>
    <w:p w14:paraId="179EB68B" w14:textId="692B88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36C6D96D" w14:textId="3F1D0FBD" w:rsidR="0033375D" w:rsidRPr="008F6D2C" w:rsidRDefault="0033375D">
      <w:pPr>
        <w:rPr>
          <w:rFonts w:ascii="Arial" w:hAnsi="Arial" w:cs="Arial"/>
          <w:sz w:val="18"/>
          <w:szCs w:val="18"/>
        </w:rPr>
      </w:pPr>
    </w:p>
    <w:sectPr w:rsidR="0033375D" w:rsidRPr="008F6D2C"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06C8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434B86">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434B86">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2058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434B86">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434B86">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4"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7"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8"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2"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3"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1" w15:restartNumberingAfterBreak="0">
    <w:nsid w:val="5A652E7D"/>
    <w:multiLevelType w:val="hybridMultilevel"/>
    <w:tmpl w:val="D58280A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3" w15:restartNumberingAfterBreak="0">
    <w:nsid w:val="5E466132"/>
    <w:multiLevelType w:val="hybridMultilevel"/>
    <w:tmpl w:val="02E45D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441B1D"/>
    <w:multiLevelType w:val="hybridMultilevel"/>
    <w:tmpl w:val="4D680E3C"/>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8"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0"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1"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2"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4"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8"/>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39"/>
  </w:num>
  <w:num w:numId="16">
    <w:abstractNumId w:val="24"/>
  </w:num>
  <w:num w:numId="17">
    <w:abstractNumId w:val="29"/>
  </w:num>
  <w:num w:numId="18">
    <w:abstractNumId w:val="44"/>
  </w:num>
  <w:num w:numId="19">
    <w:abstractNumId w:val="27"/>
  </w:num>
  <w:num w:numId="20">
    <w:abstractNumId w:val="11"/>
  </w:num>
  <w:num w:numId="21">
    <w:abstractNumId w:val="9"/>
  </w:num>
  <w:num w:numId="22">
    <w:abstractNumId w:val="26"/>
  </w:num>
  <w:num w:numId="23">
    <w:abstractNumId w:val="42"/>
  </w:num>
  <w:num w:numId="24">
    <w:abstractNumId w:val="14"/>
  </w:num>
  <w:num w:numId="25">
    <w:abstractNumId w:val="23"/>
  </w:num>
  <w:num w:numId="26">
    <w:abstractNumId w:val="34"/>
  </w:num>
  <w:num w:numId="27">
    <w:abstractNumId w:val="18"/>
  </w:num>
  <w:num w:numId="28">
    <w:abstractNumId w:val="22"/>
  </w:num>
  <w:num w:numId="29">
    <w:abstractNumId w:val="16"/>
  </w:num>
  <w:num w:numId="30">
    <w:abstractNumId w:val="40"/>
  </w:num>
  <w:num w:numId="31">
    <w:abstractNumId w:val="36"/>
  </w:num>
  <w:num w:numId="32">
    <w:abstractNumId w:val="43"/>
    <w:lvlOverride w:ilvl="0">
      <w:startOverride w:val="1"/>
    </w:lvlOverride>
  </w:num>
  <w:num w:numId="33">
    <w:abstractNumId w:val="32"/>
    <w:lvlOverride w:ilvl="0">
      <w:startOverride w:val="1"/>
    </w:lvlOverride>
  </w:num>
  <w:num w:numId="34">
    <w:abstractNumId w:val="35"/>
  </w:num>
  <w:num w:numId="35">
    <w:abstractNumId w:val="21"/>
  </w:num>
  <w:num w:numId="36">
    <w:abstractNumId w:val="20"/>
  </w:num>
  <w:num w:numId="37">
    <w:abstractNumId w:val="19"/>
  </w:num>
  <w:num w:numId="38">
    <w:abstractNumId w:val="12"/>
  </w:num>
  <w:num w:numId="39">
    <w:abstractNumId w:val="41"/>
  </w:num>
  <w:num w:numId="40">
    <w:abstractNumId w:val="15"/>
  </w:num>
  <w:num w:numId="41">
    <w:abstractNumId w:val="37"/>
  </w:num>
  <w:num w:numId="42">
    <w:abstractNumId w:val="17"/>
  </w:num>
  <w:num w:numId="43">
    <w:abstractNumId w:val="31"/>
  </w:num>
  <w:num w:numId="44">
    <w:abstractNumId w:val="2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1A77"/>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85B25"/>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1AC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2F9"/>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B86"/>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9603D"/>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3F78"/>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A3D"/>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B4E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6D2C"/>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2C93"/>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71B8"/>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E5915"/>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780">
      <w:bodyDiv w:val="1"/>
      <w:marLeft w:val="0"/>
      <w:marRight w:val="0"/>
      <w:marTop w:val="0"/>
      <w:marBottom w:val="0"/>
      <w:divBdr>
        <w:top w:val="none" w:sz="0" w:space="0" w:color="auto"/>
        <w:left w:val="none" w:sz="0" w:space="0" w:color="auto"/>
        <w:bottom w:val="none" w:sz="0" w:space="0" w:color="auto"/>
        <w:right w:val="none" w:sz="0" w:space="0" w:color="auto"/>
      </w:divBdr>
    </w:div>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361827459">
      <w:bodyDiv w:val="1"/>
      <w:marLeft w:val="0"/>
      <w:marRight w:val="0"/>
      <w:marTop w:val="0"/>
      <w:marBottom w:val="0"/>
      <w:divBdr>
        <w:top w:val="none" w:sz="0" w:space="0" w:color="auto"/>
        <w:left w:val="none" w:sz="0" w:space="0" w:color="auto"/>
        <w:bottom w:val="none" w:sz="0" w:space="0" w:color="auto"/>
        <w:right w:val="none" w:sz="0" w:space="0" w:color="auto"/>
      </w:divBdr>
      <w:divsChild>
        <w:div w:id="573131324">
          <w:marLeft w:val="0"/>
          <w:marRight w:val="0"/>
          <w:marTop w:val="0"/>
          <w:marBottom w:val="0"/>
          <w:divBdr>
            <w:top w:val="none" w:sz="0" w:space="0" w:color="auto"/>
            <w:left w:val="none" w:sz="0" w:space="0" w:color="auto"/>
            <w:bottom w:val="none" w:sz="0" w:space="0" w:color="auto"/>
            <w:right w:val="none" w:sz="0" w:space="0" w:color="auto"/>
          </w:divBdr>
        </w:div>
        <w:div w:id="54859451">
          <w:marLeft w:val="0"/>
          <w:marRight w:val="0"/>
          <w:marTop w:val="0"/>
          <w:marBottom w:val="0"/>
          <w:divBdr>
            <w:top w:val="none" w:sz="0" w:space="0" w:color="auto"/>
            <w:left w:val="none" w:sz="0" w:space="0" w:color="auto"/>
            <w:bottom w:val="none" w:sz="0" w:space="0" w:color="auto"/>
            <w:right w:val="none" w:sz="0" w:space="0" w:color="auto"/>
          </w:divBdr>
        </w:div>
      </w:divsChild>
    </w:div>
    <w:div w:id="363293421">
      <w:bodyDiv w:val="1"/>
      <w:marLeft w:val="0"/>
      <w:marRight w:val="0"/>
      <w:marTop w:val="0"/>
      <w:marBottom w:val="0"/>
      <w:divBdr>
        <w:top w:val="none" w:sz="0" w:space="0" w:color="auto"/>
        <w:left w:val="none" w:sz="0" w:space="0" w:color="auto"/>
        <w:bottom w:val="none" w:sz="0" w:space="0" w:color="auto"/>
        <w:right w:val="none" w:sz="0" w:space="0" w:color="auto"/>
      </w:divBdr>
      <w:divsChild>
        <w:div w:id="1362127112">
          <w:marLeft w:val="0"/>
          <w:marRight w:val="0"/>
          <w:marTop w:val="0"/>
          <w:marBottom w:val="0"/>
          <w:divBdr>
            <w:top w:val="none" w:sz="0" w:space="0" w:color="auto"/>
            <w:left w:val="none" w:sz="0" w:space="0" w:color="auto"/>
            <w:bottom w:val="none" w:sz="0" w:space="0" w:color="auto"/>
            <w:right w:val="none" w:sz="0" w:space="0" w:color="auto"/>
          </w:divBdr>
        </w:div>
        <w:div w:id="1930843416">
          <w:marLeft w:val="0"/>
          <w:marRight w:val="0"/>
          <w:marTop w:val="0"/>
          <w:marBottom w:val="0"/>
          <w:divBdr>
            <w:top w:val="none" w:sz="0" w:space="0" w:color="auto"/>
            <w:left w:val="none" w:sz="0" w:space="0" w:color="auto"/>
            <w:bottom w:val="none" w:sz="0" w:space="0" w:color="auto"/>
            <w:right w:val="none" w:sz="0" w:space="0" w:color="auto"/>
          </w:divBdr>
        </w:div>
      </w:divsChild>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701177426">
      <w:bodyDiv w:val="1"/>
      <w:marLeft w:val="0"/>
      <w:marRight w:val="0"/>
      <w:marTop w:val="0"/>
      <w:marBottom w:val="0"/>
      <w:divBdr>
        <w:top w:val="none" w:sz="0" w:space="0" w:color="auto"/>
        <w:left w:val="none" w:sz="0" w:space="0" w:color="auto"/>
        <w:bottom w:val="none" w:sz="0" w:space="0" w:color="auto"/>
        <w:right w:val="none" w:sz="0" w:space="0" w:color="auto"/>
      </w:divBdr>
    </w:div>
    <w:div w:id="838812948">
      <w:bodyDiv w:val="1"/>
      <w:marLeft w:val="0"/>
      <w:marRight w:val="0"/>
      <w:marTop w:val="0"/>
      <w:marBottom w:val="0"/>
      <w:divBdr>
        <w:top w:val="none" w:sz="0" w:space="0" w:color="auto"/>
        <w:left w:val="none" w:sz="0" w:space="0" w:color="auto"/>
        <w:bottom w:val="none" w:sz="0" w:space="0" w:color="auto"/>
        <w:right w:val="none" w:sz="0" w:space="0" w:color="auto"/>
      </w:divBdr>
    </w:div>
    <w:div w:id="910697218">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66630823">
      <w:bodyDiv w:val="1"/>
      <w:marLeft w:val="0"/>
      <w:marRight w:val="0"/>
      <w:marTop w:val="0"/>
      <w:marBottom w:val="0"/>
      <w:divBdr>
        <w:top w:val="none" w:sz="0" w:space="0" w:color="auto"/>
        <w:left w:val="none" w:sz="0" w:space="0" w:color="auto"/>
        <w:bottom w:val="none" w:sz="0" w:space="0" w:color="auto"/>
        <w:right w:val="none" w:sz="0" w:space="0" w:color="auto"/>
      </w:divBdr>
      <w:divsChild>
        <w:div w:id="44254293">
          <w:marLeft w:val="0"/>
          <w:marRight w:val="0"/>
          <w:marTop w:val="0"/>
          <w:marBottom w:val="0"/>
          <w:divBdr>
            <w:top w:val="none" w:sz="0" w:space="0" w:color="auto"/>
            <w:left w:val="none" w:sz="0" w:space="0" w:color="auto"/>
            <w:bottom w:val="none" w:sz="0" w:space="0" w:color="auto"/>
            <w:right w:val="none" w:sz="0" w:space="0" w:color="auto"/>
          </w:divBdr>
        </w:div>
        <w:div w:id="50097175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21791655">
      <w:bodyDiv w:val="1"/>
      <w:marLeft w:val="0"/>
      <w:marRight w:val="0"/>
      <w:marTop w:val="0"/>
      <w:marBottom w:val="0"/>
      <w:divBdr>
        <w:top w:val="none" w:sz="0" w:space="0" w:color="auto"/>
        <w:left w:val="none" w:sz="0" w:space="0" w:color="auto"/>
        <w:bottom w:val="none" w:sz="0" w:space="0" w:color="auto"/>
        <w:right w:val="none" w:sz="0" w:space="0" w:color="auto"/>
      </w:divBdr>
    </w:div>
    <w:div w:id="1486314589">
      <w:bodyDiv w:val="1"/>
      <w:marLeft w:val="0"/>
      <w:marRight w:val="0"/>
      <w:marTop w:val="0"/>
      <w:marBottom w:val="0"/>
      <w:divBdr>
        <w:top w:val="none" w:sz="0" w:space="0" w:color="auto"/>
        <w:left w:val="none" w:sz="0" w:space="0" w:color="auto"/>
        <w:bottom w:val="none" w:sz="0" w:space="0" w:color="auto"/>
        <w:right w:val="none" w:sz="0" w:space="0" w:color="auto"/>
      </w:divBdr>
      <w:divsChild>
        <w:div w:id="219678566">
          <w:marLeft w:val="0"/>
          <w:marRight w:val="0"/>
          <w:marTop w:val="0"/>
          <w:marBottom w:val="0"/>
          <w:divBdr>
            <w:top w:val="none" w:sz="0" w:space="0" w:color="auto"/>
            <w:left w:val="none" w:sz="0" w:space="0" w:color="auto"/>
            <w:bottom w:val="none" w:sz="0" w:space="0" w:color="auto"/>
            <w:right w:val="none" w:sz="0" w:space="0" w:color="auto"/>
          </w:divBdr>
          <w:divsChild>
            <w:div w:id="1559709771">
              <w:marLeft w:val="0"/>
              <w:marRight w:val="0"/>
              <w:marTop w:val="180"/>
              <w:marBottom w:val="75"/>
              <w:divBdr>
                <w:top w:val="none" w:sz="0" w:space="0" w:color="auto"/>
                <w:left w:val="none" w:sz="0" w:space="0" w:color="auto"/>
                <w:bottom w:val="none" w:sz="0" w:space="0" w:color="auto"/>
                <w:right w:val="none" w:sz="0" w:space="0" w:color="auto"/>
              </w:divBdr>
            </w:div>
            <w:div w:id="808480863">
              <w:marLeft w:val="0"/>
              <w:marRight w:val="0"/>
              <w:marTop w:val="0"/>
              <w:marBottom w:val="0"/>
              <w:divBdr>
                <w:top w:val="none" w:sz="0" w:space="0" w:color="auto"/>
                <w:left w:val="none" w:sz="0" w:space="0" w:color="auto"/>
                <w:bottom w:val="none" w:sz="0" w:space="0" w:color="auto"/>
                <w:right w:val="none" w:sz="0" w:space="0" w:color="auto"/>
              </w:divBdr>
            </w:div>
          </w:divsChild>
        </w:div>
        <w:div w:id="277613774">
          <w:marLeft w:val="240"/>
          <w:marRight w:val="240"/>
          <w:marTop w:val="0"/>
          <w:marBottom w:val="105"/>
          <w:divBdr>
            <w:top w:val="none" w:sz="0" w:space="0" w:color="auto"/>
            <w:left w:val="none" w:sz="0" w:space="0" w:color="auto"/>
            <w:bottom w:val="none" w:sz="0" w:space="0" w:color="auto"/>
            <w:right w:val="none" w:sz="0" w:space="0" w:color="auto"/>
          </w:divBdr>
        </w:div>
        <w:div w:id="1412972181">
          <w:marLeft w:val="0"/>
          <w:marRight w:val="0"/>
          <w:marTop w:val="0"/>
          <w:marBottom w:val="0"/>
          <w:divBdr>
            <w:top w:val="none" w:sz="0" w:space="0" w:color="auto"/>
            <w:left w:val="none" w:sz="0" w:space="0" w:color="auto"/>
            <w:bottom w:val="none" w:sz="0" w:space="0" w:color="auto"/>
            <w:right w:val="none" w:sz="0" w:space="0" w:color="auto"/>
          </w:divBdr>
        </w:div>
        <w:div w:id="1651901461">
          <w:marLeft w:val="240"/>
          <w:marRight w:val="240"/>
          <w:marTop w:val="0"/>
          <w:marBottom w:val="105"/>
          <w:divBdr>
            <w:top w:val="none" w:sz="0" w:space="0" w:color="auto"/>
            <w:left w:val="none" w:sz="0" w:space="0" w:color="auto"/>
            <w:bottom w:val="none" w:sz="0" w:space="0" w:color="auto"/>
            <w:right w:val="none" w:sz="0" w:space="0" w:color="auto"/>
          </w:divBdr>
        </w:div>
        <w:div w:id="600336281">
          <w:marLeft w:val="0"/>
          <w:marRight w:val="0"/>
          <w:marTop w:val="0"/>
          <w:marBottom w:val="0"/>
          <w:divBdr>
            <w:top w:val="none" w:sz="0" w:space="0" w:color="auto"/>
            <w:left w:val="none" w:sz="0" w:space="0" w:color="auto"/>
            <w:bottom w:val="none" w:sz="0" w:space="0" w:color="auto"/>
            <w:right w:val="none" w:sz="0" w:space="0" w:color="auto"/>
          </w:divBdr>
        </w:div>
        <w:div w:id="1073703814">
          <w:marLeft w:val="240"/>
          <w:marRight w:val="240"/>
          <w:marTop w:val="0"/>
          <w:marBottom w:val="105"/>
          <w:divBdr>
            <w:top w:val="none" w:sz="0" w:space="0" w:color="auto"/>
            <w:left w:val="none" w:sz="0" w:space="0" w:color="auto"/>
            <w:bottom w:val="none" w:sz="0" w:space="0" w:color="auto"/>
            <w:right w:val="none" w:sz="0" w:space="0" w:color="auto"/>
          </w:divBdr>
        </w:div>
        <w:div w:id="653140006">
          <w:marLeft w:val="0"/>
          <w:marRight w:val="0"/>
          <w:marTop w:val="0"/>
          <w:marBottom w:val="0"/>
          <w:divBdr>
            <w:top w:val="none" w:sz="0" w:space="0" w:color="auto"/>
            <w:left w:val="none" w:sz="0" w:space="0" w:color="auto"/>
            <w:bottom w:val="none" w:sz="0" w:space="0" w:color="auto"/>
            <w:right w:val="none" w:sz="0" w:space="0" w:color="auto"/>
          </w:divBdr>
        </w:div>
      </w:divsChild>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725713221">
      <w:bodyDiv w:val="1"/>
      <w:marLeft w:val="0"/>
      <w:marRight w:val="0"/>
      <w:marTop w:val="0"/>
      <w:marBottom w:val="0"/>
      <w:divBdr>
        <w:top w:val="none" w:sz="0" w:space="0" w:color="auto"/>
        <w:left w:val="none" w:sz="0" w:space="0" w:color="auto"/>
        <w:bottom w:val="none" w:sz="0" w:space="0" w:color="auto"/>
        <w:right w:val="none" w:sz="0" w:space="0" w:color="auto"/>
      </w:divBdr>
    </w:div>
    <w:div w:id="1866363408">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accessdata.fda.gov/drugsatfda_docs/label/2012/021877s005lbl.pdf" TargetMode="External"/><Relationship Id="rId3" Type="http://schemas.openxmlformats.org/officeDocument/2006/relationships/styles" Target="styles.xml"/><Relationship Id="rId21" Type="http://schemas.openxmlformats.org/officeDocument/2006/relationships/hyperlink" Target="https://www.esmo.org/Guidelines/Haematological-Malignancies/Acute-Lymphoblastic-Leukaemi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sk.novartispharma.ca/download.htm?res=atriance_scrip_e.pdf&amp;resTitleId=1079"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onlinelibrary.wiley.com/doi/pdf/10.1002/pbc.25470" TargetMode="External"/><Relationship Id="rId20" Type="http://schemas.openxmlformats.org/officeDocument/2006/relationships/hyperlink" Target="https://www.nccn.org/professionals/physician_gls/pdf/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etinglibrary.asco.org/record/160206/abstrac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ma.europa.eu/documents/product-information/atriance-epar-product-information_en.pdf"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4080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5AEF-4C53-47FA-8BE7-3DEB636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2019-05-16T13:40:00Z</dcterms:modified>
</cp:coreProperties>
</file>