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74F9FF64" w:rsidR="00121EB1" w:rsidRPr="00CB5E8A" w:rsidRDefault="00CB5E8A" w:rsidP="00860375">
            <w:pPr>
              <w:pStyle w:val="DocumentTitle"/>
              <w:tabs>
                <w:tab w:val="left" w:pos="1074"/>
              </w:tabs>
              <w:spacing w:before="0" w:after="0"/>
              <w:rPr>
                <w:sz w:val="18"/>
                <w:szCs w:val="20"/>
              </w:rPr>
            </w:pPr>
            <w:proofErr w:type="spellStart"/>
            <w:r w:rsidRPr="00CB5E8A">
              <w:rPr>
                <w:sz w:val="18"/>
                <w:szCs w:val="20"/>
              </w:rPr>
              <w:t>pCODR</w:t>
            </w:r>
            <w:proofErr w:type="spellEnd"/>
            <w:r w:rsidRPr="00CB5E8A">
              <w:rPr>
                <w:sz w:val="18"/>
                <w:szCs w:val="20"/>
              </w:rPr>
              <w:t xml:space="preserve"> 101</w:t>
            </w:r>
            <w:r w:rsidR="00F60A6E">
              <w:rPr>
                <w:sz w:val="18"/>
                <w:szCs w:val="20"/>
              </w:rPr>
              <w:t>93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0A9D8FA9" w:rsidR="00F369F8" w:rsidRPr="00CB5E8A" w:rsidRDefault="00F60A6E" w:rsidP="00B073A2">
            <w:pPr>
              <w:pStyle w:val="DocumentTitle"/>
              <w:tabs>
                <w:tab w:val="left" w:pos="1074"/>
              </w:tabs>
              <w:spacing w:before="0" w:after="0"/>
              <w:rPr>
                <w:sz w:val="18"/>
                <w:szCs w:val="20"/>
              </w:rPr>
            </w:pPr>
            <w:proofErr w:type="spellStart"/>
            <w:r w:rsidRPr="00F60A6E">
              <w:rPr>
                <w:sz w:val="18"/>
                <w:szCs w:val="20"/>
              </w:rPr>
              <w:t>Midostaurin</w:t>
            </w:r>
            <w:proofErr w:type="spellEnd"/>
            <w:r w:rsidRPr="00F60A6E">
              <w:rPr>
                <w:sz w:val="18"/>
                <w:szCs w:val="20"/>
              </w:rPr>
              <w:t xml:space="preserve"> (</w:t>
            </w:r>
            <w:proofErr w:type="spellStart"/>
            <w:r w:rsidRPr="00F60A6E">
              <w:rPr>
                <w:sz w:val="18"/>
                <w:szCs w:val="20"/>
              </w:rPr>
              <w:t>Rydapt</w:t>
            </w:r>
            <w:proofErr w:type="spellEnd"/>
            <w:r w:rsidRPr="00F60A6E">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37D76502" w14:textId="46CEB983" w:rsidR="00860375" w:rsidRPr="00F60A6E" w:rsidRDefault="00F60A6E" w:rsidP="00860375">
            <w:pPr>
              <w:pStyle w:val="DocumentTitle"/>
              <w:tabs>
                <w:tab w:val="left" w:pos="1074"/>
              </w:tabs>
              <w:spacing w:before="0" w:after="0"/>
              <w:rPr>
                <w:sz w:val="18"/>
                <w:szCs w:val="20"/>
              </w:rPr>
            </w:pPr>
            <w:r w:rsidRPr="00F60A6E">
              <w:rPr>
                <w:sz w:val="18"/>
                <w:szCs w:val="20"/>
              </w:rPr>
              <w:t>Other</w:t>
            </w:r>
          </w:p>
          <w:p w14:paraId="188CCEE5" w14:textId="20A50420" w:rsidR="00F369F8" w:rsidRPr="00F60A6E" w:rsidRDefault="00F60A6E" w:rsidP="00860375">
            <w:pPr>
              <w:pStyle w:val="DocumentTitle"/>
              <w:tabs>
                <w:tab w:val="left" w:pos="1074"/>
              </w:tabs>
              <w:spacing w:before="0" w:after="0"/>
              <w:rPr>
                <w:sz w:val="18"/>
                <w:szCs w:val="20"/>
              </w:rPr>
            </w:pPr>
            <w:r w:rsidRPr="00F60A6E">
              <w:rPr>
                <w:sz w:val="18"/>
                <w:szCs w:val="20"/>
              </w:rPr>
              <w:t xml:space="preserve">Systemic </w:t>
            </w:r>
            <w:proofErr w:type="spellStart"/>
            <w:r w:rsidRPr="00F60A6E">
              <w:rPr>
                <w:sz w:val="18"/>
                <w:szCs w:val="20"/>
              </w:rPr>
              <w:t>Mastocytosis</w:t>
            </w:r>
            <w:proofErr w:type="spellEnd"/>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7C56437" w:rsidR="00F81D31" w:rsidRPr="00F60A6E" w:rsidRDefault="00F60A6E" w:rsidP="00CB5E8A">
            <w:pPr>
              <w:pStyle w:val="DocumentTitle"/>
              <w:tabs>
                <w:tab w:val="left" w:pos="1074"/>
              </w:tabs>
              <w:spacing w:after="0"/>
              <w:rPr>
                <w:sz w:val="18"/>
                <w:szCs w:val="18"/>
              </w:rPr>
            </w:pPr>
            <w:r w:rsidRPr="00F60A6E">
              <w:rPr>
                <w:sz w:val="18"/>
                <w:szCs w:val="18"/>
              </w:rPr>
              <w:t xml:space="preserve">For the treatment of adult patients with aggressive systemic </w:t>
            </w:r>
            <w:proofErr w:type="spellStart"/>
            <w:r w:rsidRPr="00F60A6E">
              <w:rPr>
                <w:sz w:val="18"/>
                <w:szCs w:val="18"/>
              </w:rPr>
              <w:t>mastocytosis</w:t>
            </w:r>
            <w:proofErr w:type="spellEnd"/>
            <w:r w:rsidRPr="00F60A6E">
              <w:rPr>
                <w:sz w:val="18"/>
                <w:szCs w:val="18"/>
              </w:rPr>
              <w:t xml:space="preserve"> (ASM), systemic </w:t>
            </w:r>
            <w:proofErr w:type="spellStart"/>
            <w:r w:rsidRPr="00F60A6E">
              <w:rPr>
                <w:sz w:val="18"/>
                <w:szCs w:val="18"/>
              </w:rPr>
              <w:t>mastocytosis</w:t>
            </w:r>
            <w:proofErr w:type="spellEnd"/>
            <w:r w:rsidRPr="00F60A6E">
              <w:rPr>
                <w:sz w:val="18"/>
                <w:szCs w:val="18"/>
              </w:rPr>
              <w:t xml:space="preserve"> with associated hematological neoplasm (SM-AHN), or mast cell leukemia (MCL).</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35AEE738" w:rsidR="00F60A6E" w:rsidRPr="00F60A6E" w:rsidRDefault="00F60A6E" w:rsidP="00860375">
            <w:pPr>
              <w:pStyle w:val="DocumentTitle"/>
              <w:numPr>
                <w:ilvl w:val="0"/>
                <w:numId w:val="44"/>
              </w:numPr>
              <w:tabs>
                <w:tab w:val="left" w:pos="1074"/>
              </w:tabs>
              <w:spacing w:before="0" w:after="0"/>
              <w:rPr>
                <w:sz w:val="18"/>
                <w:szCs w:val="18"/>
              </w:rPr>
            </w:pPr>
            <w:r w:rsidRPr="00F60A6E">
              <w:rPr>
                <w:color w:val="000000"/>
                <w:sz w:val="18"/>
                <w:szCs w:val="18"/>
                <w:shd w:val="clear" w:color="auto" w:fill="FFFFFF"/>
              </w:rPr>
              <w:t>CPKC412D2201(</w:t>
            </w:r>
            <w:hyperlink r:id="rId14" w:tgtFrame="_blank" w:history="1">
              <w:r w:rsidRPr="00F60A6E">
                <w:rPr>
                  <w:rStyle w:val="Hyperlink"/>
                  <w:sz w:val="18"/>
                  <w:szCs w:val="18"/>
                  <w:bdr w:val="none" w:sz="0" w:space="0" w:color="auto" w:frame="1"/>
                  <w:shd w:val="clear" w:color="auto" w:fill="FFFFFF"/>
                </w:rPr>
                <w:t>NCT00782067</w:t>
              </w:r>
            </w:hyperlink>
            <w:r w:rsidRPr="00F60A6E">
              <w:rPr>
                <w:color w:val="000000"/>
                <w:sz w:val="18"/>
                <w:szCs w:val="18"/>
                <w:shd w:val="clear" w:color="auto" w:fill="FFFFFF"/>
              </w:rPr>
              <w:t>) - </w:t>
            </w:r>
            <w:proofErr w:type="spellStart"/>
            <w:r w:rsidR="00912B81">
              <w:rPr>
                <w:rStyle w:val="Hyperlink"/>
                <w:sz w:val="18"/>
                <w:szCs w:val="18"/>
                <w:bdr w:val="none" w:sz="0" w:space="0" w:color="auto" w:frame="1"/>
                <w:shd w:val="clear" w:color="auto" w:fill="FFFFFF"/>
              </w:rPr>
              <w:fldChar w:fldCharType="begin"/>
            </w:r>
            <w:r w:rsidR="00912B81">
              <w:rPr>
                <w:rStyle w:val="Hyperlink"/>
                <w:sz w:val="18"/>
                <w:szCs w:val="18"/>
                <w:bdr w:val="none" w:sz="0" w:space="0" w:color="auto" w:frame="1"/>
                <w:shd w:val="clear" w:color="auto" w:fill="FFFFFF"/>
                <w:lang w:eastAsia="en-US"/>
              </w:rPr>
              <w:instrText xml:space="preserve"> HYPERLINK "https://www.nejm.org/doi/pdf/10.1056/NEJMoa1513098?articleTools" \t "_blank" </w:instrText>
            </w:r>
            <w:r w:rsidR="00912B81">
              <w:rPr>
                <w:rStyle w:val="Hyperlink"/>
                <w:sz w:val="18"/>
                <w:szCs w:val="18"/>
                <w:bdr w:val="none" w:sz="0" w:space="0" w:color="auto" w:frame="1"/>
                <w:shd w:val="clear" w:color="auto" w:fill="FFFFFF"/>
                <w:lang w:eastAsia="en-US"/>
              </w:rPr>
              <w:fldChar w:fldCharType="separate"/>
            </w:r>
            <w:r w:rsidRPr="00F60A6E">
              <w:rPr>
                <w:rStyle w:val="Hyperlink"/>
                <w:sz w:val="18"/>
                <w:szCs w:val="18"/>
                <w:bdr w:val="none" w:sz="0" w:space="0" w:color="auto" w:frame="1"/>
                <w:shd w:val="clear" w:color="auto" w:fill="FFFFFF"/>
              </w:rPr>
              <w:t>Gotlib</w:t>
            </w:r>
            <w:proofErr w:type="spellEnd"/>
            <w:r w:rsidRPr="00F60A6E">
              <w:rPr>
                <w:rStyle w:val="Hyperlink"/>
                <w:sz w:val="18"/>
                <w:szCs w:val="18"/>
                <w:bdr w:val="none" w:sz="0" w:space="0" w:color="auto" w:frame="1"/>
                <w:shd w:val="clear" w:color="auto" w:fill="FFFFFF"/>
              </w:rPr>
              <w:t xml:space="preserve"> et al, NEJM 2016</w:t>
            </w:r>
            <w:r w:rsidR="00912B81">
              <w:rPr>
                <w:rStyle w:val="Hyperlink"/>
                <w:sz w:val="18"/>
                <w:szCs w:val="18"/>
                <w:bdr w:val="none" w:sz="0" w:space="0" w:color="auto" w:frame="1"/>
                <w:shd w:val="clear" w:color="auto" w:fill="FFFFFF"/>
              </w:rPr>
              <w:fldChar w:fldCharType="end"/>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6BB0EBC4" w14:textId="52AA1403" w:rsidR="00275E1C" w:rsidRPr="00F60A6E" w:rsidRDefault="00912B81" w:rsidP="00F60A6E">
            <w:pPr>
              <w:pStyle w:val="DocumentTitle"/>
              <w:tabs>
                <w:tab w:val="left" w:pos="1074"/>
              </w:tabs>
              <w:spacing w:before="0" w:after="0"/>
              <w:rPr>
                <w:sz w:val="18"/>
                <w:szCs w:val="20"/>
              </w:rPr>
            </w:pPr>
            <w:hyperlink r:id="rId15" w:history="1">
              <w:r w:rsidR="00F60A6E" w:rsidRPr="00F60A6E">
                <w:rPr>
                  <w:rStyle w:val="Hyperlink"/>
                  <w:sz w:val="18"/>
                  <w:szCs w:val="20"/>
                </w:rPr>
                <w:t>October 2, 2018</w:t>
              </w:r>
            </w:hyperlink>
          </w:p>
          <w:p w14:paraId="547CC765" w14:textId="1B171709" w:rsidR="00F60A6E" w:rsidRPr="00F60A6E" w:rsidRDefault="00F60A6E" w:rsidP="00F60A6E">
            <w:pPr>
              <w:pStyle w:val="DocumentTitle"/>
              <w:tabs>
                <w:tab w:val="left" w:pos="1074"/>
              </w:tabs>
              <w:spacing w:after="0"/>
              <w:rPr>
                <w:sz w:val="18"/>
                <w:szCs w:val="20"/>
              </w:rPr>
            </w:pPr>
            <w:r w:rsidRPr="00F60A6E">
              <w:rPr>
                <w:sz w:val="18"/>
                <w:szCs w:val="20"/>
              </w:rPr>
              <w:t xml:space="preserve">for the treatment of adult patients with aggressive systemic </w:t>
            </w:r>
            <w:proofErr w:type="spellStart"/>
            <w:r w:rsidRPr="00F60A6E">
              <w:rPr>
                <w:sz w:val="18"/>
                <w:szCs w:val="20"/>
              </w:rPr>
              <w:t>mastocytosis</w:t>
            </w:r>
            <w:proofErr w:type="spellEnd"/>
            <w:r w:rsidRPr="00F60A6E">
              <w:rPr>
                <w:sz w:val="18"/>
                <w:szCs w:val="20"/>
              </w:rPr>
              <w:t xml:space="preserve"> (ASM), systemic </w:t>
            </w:r>
            <w:proofErr w:type="spellStart"/>
            <w:r w:rsidRPr="00F60A6E">
              <w:rPr>
                <w:sz w:val="18"/>
                <w:szCs w:val="20"/>
              </w:rPr>
              <w:t>mastocytosis</w:t>
            </w:r>
            <w:proofErr w:type="spellEnd"/>
            <w:r w:rsidRPr="00F60A6E">
              <w:rPr>
                <w:sz w:val="18"/>
                <w:szCs w:val="20"/>
              </w:rPr>
              <w:t xml:space="preserve"> with associated hematological neoplasm (SM-AHN), or mast cell leukemia (MCL).</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860375" w:rsidRDefault="00716B05"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18CEB7B7" w14:textId="39CC7300" w:rsidR="004747F6" w:rsidRPr="00F60A6E" w:rsidRDefault="00912B81" w:rsidP="007961A5">
            <w:pPr>
              <w:pStyle w:val="DocumentTitle"/>
              <w:tabs>
                <w:tab w:val="left" w:pos="1074"/>
              </w:tabs>
              <w:spacing w:before="0" w:after="0"/>
              <w:rPr>
                <w:rStyle w:val="Hyperlink"/>
                <w:color w:val="auto"/>
                <w:sz w:val="18"/>
                <w:szCs w:val="20"/>
              </w:rPr>
            </w:pPr>
            <w:hyperlink r:id="rId16" w:history="1">
              <w:r w:rsidR="00F60A6E" w:rsidRPr="00F60A6E">
                <w:rPr>
                  <w:rStyle w:val="Hyperlink"/>
                  <w:color w:val="auto"/>
                  <w:sz w:val="18"/>
                  <w:szCs w:val="20"/>
                </w:rPr>
                <w:t>April 28, 2017</w:t>
              </w:r>
            </w:hyperlink>
          </w:p>
          <w:p w14:paraId="2EE07483" w14:textId="0A86E9B9" w:rsidR="00F60A6E" w:rsidRPr="00F60A6E" w:rsidRDefault="00F60A6E" w:rsidP="00F60A6E">
            <w:pPr>
              <w:pStyle w:val="DocumentTitle"/>
              <w:tabs>
                <w:tab w:val="left" w:pos="1074"/>
              </w:tabs>
              <w:spacing w:after="0"/>
              <w:rPr>
                <w:sz w:val="18"/>
                <w:szCs w:val="20"/>
              </w:rPr>
            </w:pPr>
            <w:r w:rsidRPr="00F60A6E">
              <w:rPr>
                <w:sz w:val="18"/>
                <w:szCs w:val="20"/>
              </w:rPr>
              <w:t xml:space="preserve">treatment of adult patients with aggressive systemic </w:t>
            </w:r>
            <w:proofErr w:type="spellStart"/>
            <w:r w:rsidRPr="00F60A6E">
              <w:rPr>
                <w:sz w:val="18"/>
                <w:szCs w:val="20"/>
              </w:rPr>
              <w:t>mastocytosis</w:t>
            </w:r>
            <w:proofErr w:type="spellEnd"/>
            <w:r w:rsidRPr="00F60A6E">
              <w:rPr>
                <w:sz w:val="18"/>
                <w:szCs w:val="20"/>
              </w:rPr>
              <w:t xml:space="preserve"> (ASM), systemic </w:t>
            </w:r>
            <w:proofErr w:type="spellStart"/>
            <w:r w:rsidRPr="00F60A6E">
              <w:rPr>
                <w:sz w:val="18"/>
                <w:szCs w:val="20"/>
              </w:rPr>
              <w:t>mastocytosis</w:t>
            </w:r>
            <w:proofErr w:type="spellEnd"/>
            <w:r w:rsidRPr="00F60A6E">
              <w:rPr>
                <w:sz w:val="18"/>
                <w:szCs w:val="20"/>
              </w:rPr>
              <w:t xml:space="preserve"> with associated hematological neoplasm (SM-AHN), or mast cell leukemia (MCL).</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7364ACE6" w14:textId="21CF1CD1" w:rsidR="004747F6" w:rsidRPr="00F60A6E" w:rsidRDefault="00912B81" w:rsidP="00EB0EEF">
            <w:pPr>
              <w:pStyle w:val="DocumentTitle"/>
              <w:tabs>
                <w:tab w:val="left" w:pos="1074"/>
              </w:tabs>
              <w:spacing w:before="0" w:after="0"/>
              <w:rPr>
                <w:sz w:val="18"/>
                <w:szCs w:val="20"/>
              </w:rPr>
            </w:pPr>
            <w:hyperlink r:id="rId17" w:history="1">
              <w:r w:rsidR="00F60A6E" w:rsidRPr="00F60A6E">
                <w:rPr>
                  <w:rStyle w:val="Hyperlink"/>
                  <w:sz w:val="18"/>
                  <w:szCs w:val="20"/>
                </w:rPr>
                <w:t>July 20, 2017</w:t>
              </w:r>
            </w:hyperlink>
          </w:p>
          <w:p w14:paraId="4382D7E4" w14:textId="4CB7F5C9" w:rsidR="00F60A6E" w:rsidRPr="00F60A6E" w:rsidRDefault="00F60A6E" w:rsidP="00F60A6E">
            <w:pPr>
              <w:pStyle w:val="DocumentTitle"/>
              <w:tabs>
                <w:tab w:val="left" w:pos="1074"/>
              </w:tabs>
              <w:spacing w:after="0"/>
              <w:rPr>
                <w:sz w:val="18"/>
                <w:szCs w:val="20"/>
              </w:rPr>
            </w:pPr>
            <w:r w:rsidRPr="00F60A6E">
              <w:rPr>
                <w:sz w:val="18"/>
                <w:szCs w:val="20"/>
              </w:rPr>
              <w:t xml:space="preserve">as monotherapy for the treatment of adult patients with aggressive systemic </w:t>
            </w:r>
            <w:proofErr w:type="spellStart"/>
            <w:r w:rsidRPr="00F60A6E">
              <w:rPr>
                <w:sz w:val="18"/>
                <w:szCs w:val="20"/>
              </w:rPr>
              <w:t>mastocytosis</w:t>
            </w:r>
            <w:proofErr w:type="spellEnd"/>
            <w:r w:rsidRPr="00F60A6E">
              <w:rPr>
                <w:sz w:val="18"/>
                <w:szCs w:val="20"/>
              </w:rPr>
              <w:t xml:space="preserve"> (ASM), systemic </w:t>
            </w:r>
            <w:proofErr w:type="spellStart"/>
            <w:r w:rsidRPr="00F60A6E">
              <w:rPr>
                <w:sz w:val="18"/>
                <w:szCs w:val="20"/>
              </w:rPr>
              <w:t>mastocytosis</w:t>
            </w:r>
            <w:proofErr w:type="spellEnd"/>
            <w:r w:rsidRPr="00F60A6E">
              <w:rPr>
                <w:sz w:val="18"/>
                <w:szCs w:val="20"/>
              </w:rPr>
              <w:t xml:space="preserve"> with associated haematological neoplasm (SM AHN), or mast cell leukaemia (MCL).</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FFC5124" w:rsidR="00420EEA" w:rsidRPr="00F60A6E" w:rsidRDefault="00F60A6E" w:rsidP="00860375">
            <w:pPr>
              <w:pStyle w:val="DocumentTitle"/>
              <w:tabs>
                <w:tab w:val="left" w:pos="1074"/>
              </w:tabs>
              <w:spacing w:before="0" w:after="0"/>
              <w:rPr>
                <w:sz w:val="18"/>
                <w:szCs w:val="20"/>
                <w:highlight w:val="yellow"/>
              </w:rPr>
            </w:pPr>
            <w:r w:rsidRPr="00F60A6E">
              <w:rPr>
                <w:sz w:val="18"/>
                <w:szCs w:val="20"/>
              </w:rPr>
              <w:t xml:space="preserve">Systemic </w:t>
            </w:r>
            <w:proofErr w:type="spellStart"/>
            <w:r w:rsidRPr="00F60A6E">
              <w:rPr>
                <w:sz w:val="18"/>
                <w:szCs w:val="20"/>
              </w:rPr>
              <w:t>Mastocytosis</w:t>
            </w:r>
            <w:proofErr w:type="spellEnd"/>
            <w:r w:rsidRPr="00F60A6E">
              <w:rPr>
                <w:sz w:val="18"/>
                <w:szCs w:val="20"/>
              </w:rPr>
              <w:t>, Version 2.2019, NCCN Clinical Practice Guidelines in Oncology</w:t>
            </w:r>
            <w:r>
              <w:rPr>
                <w:sz w:val="18"/>
                <w:szCs w:val="20"/>
              </w:rPr>
              <w:t xml:space="preserve">. </w:t>
            </w:r>
            <w:hyperlink r:id="rId18" w:history="1">
              <w:r>
                <w:rPr>
                  <w:rStyle w:val="Hyperlink"/>
                  <w:sz w:val="18"/>
                  <w:szCs w:val="20"/>
                </w:rPr>
                <w:t>https://doi.org/10.6004/jnccn.2018.0088</w:t>
              </w:r>
            </w:hyperlink>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DBA018A" w:rsidR="00F60A6E" w:rsidRPr="00912B81" w:rsidRDefault="00F60A6E" w:rsidP="00140A45">
            <w:pPr>
              <w:pStyle w:val="DocumentTitle"/>
              <w:tabs>
                <w:tab w:val="left" w:pos="1074"/>
              </w:tabs>
              <w:spacing w:after="0"/>
              <w:rPr>
                <w:color w:val="C00000"/>
                <w:sz w:val="18"/>
                <w:szCs w:val="18"/>
              </w:rPr>
            </w:pPr>
            <w:r w:rsidRPr="00912B81">
              <w:rPr>
                <w:sz w:val="18"/>
                <w:szCs w:val="18"/>
              </w:rPr>
              <w:t xml:space="preserve">No standard of care for the treatment of adult patients with aggressive systemic </w:t>
            </w:r>
            <w:proofErr w:type="spellStart"/>
            <w:r w:rsidRPr="00912B81">
              <w:rPr>
                <w:sz w:val="18"/>
                <w:szCs w:val="18"/>
              </w:rPr>
              <w:t>mastocytosis</w:t>
            </w:r>
            <w:proofErr w:type="spellEnd"/>
            <w:r w:rsidRPr="00912B81">
              <w:rPr>
                <w:sz w:val="18"/>
                <w:szCs w:val="18"/>
              </w:rPr>
              <w:t xml:space="preserve"> (ASM), systemic </w:t>
            </w:r>
            <w:proofErr w:type="spellStart"/>
            <w:r w:rsidRPr="00912B81">
              <w:rPr>
                <w:sz w:val="18"/>
                <w:szCs w:val="18"/>
              </w:rPr>
              <w:t>mastocytosis</w:t>
            </w:r>
            <w:proofErr w:type="spellEnd"/>
            <w:r w:rsidRPr="00912B81">
              <w:rPr>
                <w:sz w:val="18"/>
                <w:szCs w:val="18"/>
              </w:rPr>
              <w:t xml:space="preserve"> with associated hematological neoplasm (SM-AHN), or mast cell leukemia (MCL). Patients may receive cytoreductive therapies (e.g.,</w:t>
            </w:r>
            <w:r w:rsidR="00912B81" w:rsidRPr="00912B81">
              <w:rPr>
                <w:sz w:val="18"/>
                <w:szCs w:val="18"/>
              </w:rPr>
              <w:t xml:space="preserve"> imatinib,</w:t>
            </w:r>
            <w:r w:rsidRPr="00912B81">
              <w:rPr>
                <w:sz w:val="18"/>
                <w:szCs w:val="18"/>
              </w:rPr>
              <w:t xml:space="preserve"> </w:t>
            </w:r>
            <w:proofErr w:type="spellStart"/>
            <w:r w:rsidRPr="00912B81">
              <w:rPr>
                <w:sz w:val="18"/>
                <w:szCs w:val="18"/>
              </w:rPr>
              <w:t>cladrabine</w:t>
            </w:r>
            <w:proofErr w:type="spellEnd"/>
            <w:r w:rsidRPr="00912B81">
              <w:rPr>
                <w:sz w:val="18"/>
                <w:szCs w:val="18"/>
              </w:rPr>
              <w:t xml:space="preserve">, cytarabine, </w:t>
            </w:r>
            <w:proofErr w:type="spellStart"/>
            <w:r w:rsidRPr="00912B81">
              <w:rPr>
                <w:sz w:val="18"/>
                <w:szCs w:val="18"/>
              </w:rPr>
              <w:t>az</w:t>
            </w:r>
            <w:r w:rsidR="00140A45" w:rsidRPr="00912B81">
              <w:rPr>
                <w:sz w:val="18"/>
                <w:szCs w:val="18"/>
              </w:rPr>
              <w:t>a</w:t>
            </w:r>
            <w:r w:rsidRPr="00912B81">
              <w:rPr>
                <w:sz w:val="18"/>
                <w:szCs w:val="18"/>
              </w:rPr>
              <w:t>citidine</w:t>
            </w:r>
            <w:proofErr w:type="spellEnd"/>
            <w:r w:rsidRPr="00912B81">
              <w:rPr>
                <w:sz w:val="18"/>
                <w:szCs w:val="18"/>
              </w:rPr>
              <w:t>, hydroxyurea and fludarabine) plus mast cell stabilizers or inhibitors of release (e.g., antihistamines).</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912B8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15D52E7F" w14:textId="4432EE57" w:rsidR="004747F6" w:rsidRPr="00912B81" w:rsidRDefault="004747F6" w:rsidP="00912B81">
      <w:pPr>
        <w:pStyle w:val="ListParagraph"/>
        <w:numPr>
          <w:ilvl w:val="0"/>
          <w:numId w:val="42"/>
        </w:numPr>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Question:</w:t>
      </w:r>
      <w:r w:rsidR="00F60A6E" w:rsidRPr="00912B81">
        <w:rPr>
          <w:rFonts w:ascii="Arial" w:hAnsi="Arial" w:cs="Arial"/>
          <w:b/>
          <w:sz w:val="18"/>
          <w:szCs w:val="18"/>
        </w:rPr>
        <w:t xml:space="preserve"> </w:t>
      </w:r>
      <w:r w:rsidR="00912B81" w:rsidRPr="00912B81">
        <w:rPr>
          <w:rFonts w:ascii="Arial" w:eastAsia="Times New Roman" w:hAnsi="Arial" w:cs="Arial"/>
          <w:b/>
          <w:sz w:val="18"/>
          <w:szCs w:val="18"/>
        </w:rPr>
        <w:t xml:space="preserve">Please consider the optimal treatment sequencing and preference of </w:t>
      </w:r>
      <w:proofErr w:type="spellStart"/>
      <w:r w:rsidR="00912B81" w:rsidRPr="00912B81">
        <w:rPr>
          <w:rFonts w:ascii="Arial" w:eastAsia="Times New Roman" w:hAnsi="Arial" w:cs="Arial"/>
          <w:b/>
          <w:sz w:val="18"/>
          <w:szCs w:val="18"/>
        </w:rPr>
        <w:t>midostaurin</w:t>
      </w:r>
      <w:proofErr w:type="spellEnd"/>
      <w:r w:rsidR="00912B81" w:rsidRPr="00912B81">
        <w:rPr>
          <w:rFonts w:ascii="Arial" w:eastAsia="Times New Roman" w:hAnsi="Arial" w:cs="Arial"/>
          <w:b/>
          <w:sz w:val="18"/>
          <w:szCs w:val="18"/>
        </w:rPr>
        <w:t xml:space="preserve"> compared with cytoreductive therapies (e.g., imatinib, </w:t>
      </w:r>
      <w:proofErr w:type="spellStart"/>
      <w:r w:rsidR="00912B81" w:rsidRPr="00912B81">
        <w:rPr>
          <w:rFonts w:ascii="Arial" w:eastAsia="Times New Roman" w:hAnsi="Arial" w:cs="Arial"/>
          <w:b/>
          <w:sz w:val="18"/>
          <w:szCs w:val="18"/>
        </w:rPr>
        <w:t>cladrabine</w:t>
      </w:r>
      <w:proofErr w:type="spellEnd"/>
      <w:r w:rsidR="00912B81" w:rsidRPr="00912B81">
        <w:rPr>
          <w:rFonts w:ascii="Arial" w:eastAsia="Times New Roman" w:hAnsi="Arial" w:cs="Arial"/>
          <w:b/>
          <w:sz w:val="18"/>
          <w:szCs w:val="18"/>
        </w:rPr>
        <w:t xml:space="preserve">, cytarabine, </w:t>
      </w:r>
      <w:proofErr w:type="spellStart"/>
      <w:r w:rsidR="00912B81" w:rsidRPr="00912B81">
        <w:rPr>
          <w:rFonts w:ascii="Arial" w:eastAsia="Times New Roman" w:hAnsi="Arial" w:cs="Arial"/>
          <w:b/>
          <w:sz w:val="18"/>
          <w:szCs w:val="18"/>
        </w:rPr>
        <w:t>azacitidine</w:t>
      </w:r>
      <w:proofErr w:type="spellEnd"/>
      <w:r w:rsidR="00912B81" w:rsidRPr="00912B81">
        <w:rPr>
          <w:rFonts w:ascii="Arial" w:eastAsia="Times New Roman" w:hAnsi="Arial" w:cs="Arial"/>
          <w:b/>
          <w:sz w:val="18"/>
          <w:szCs w:val="18"/>
        </w:rPr>
        <w:t xml:space="preserve">, hydroxyurea, fludarabine, and mast cell stabilizers or inhibitors of release) as well as what treatment options would be available to patients upon progression of </w:t>
      </w:r>
      <w:proofErr w:type="spellStart"/>
      <w:r w:rsidR="00912B81" w:rsidRPr="00912B81">
        <w:rPr>
          <w:rFonts w:ascii="Arial" w:eastAsia="Times New Roman" w:hAnsi="Arial" w:cs="Arial"/>
          <w:b/>
          <w:sz w:val="18"/>
          <w:szCs w:val="18"/>
        </w:rPr>
        <w:t>midostaurin</w:t>
      </w:r>
      <w:proofErr w:type="spellEnd"/>
      <w:r w:rsidR="00912B81" w:rsidRPr="00912B81">
        <w:rPr>
          <w:rFonts w:ascii="Arial" w:eastAsia="Times New Roman" w:hAnsi="Arial" w:cs="Arial"/>
          <w:b/>
          <w:sz w:val="18"/>
          <w:szCs w:val="18"/>
        </w:rPr>
        <w:t xml:space="preserve"> in this setting.</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2A7A6CD6" w14:textId="73A7CD0E" w:rsidR="00B06CDB" w:rsidRDefault="006B2DFA"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p w14:paraId="07727B37" w14:textId="2186CAF1" w:rsidR="00912B81" w:rsidRPr="00912B81" w:rsidRDefault="00912B81" w:rsidP="00912B81">
      <w:pPr>
        <w:pStyle w:val="ListParagraph"/>
        <w:numPr>
          <w:ilvl w:val="0"/>
          <w:numId w:val="42"/>
        </w:numPr>
        <w:rPr>
          <w:rFonts w:ascii="Arial" w:eastAsia="Times New Roman" w:hAnsi="Arial" w:cs="Arial"/>
          <w:b/>
          <w:sz w:val="18"/>
          <w:szCs w:val="18"/>
        </w:rPr>
      </w:pPr>
      <w:r w:rsidRPr="00912B81">
        <w:rPr>
          <w:rFonts w:ascii="Arial" w:hAnsi="Arial" w:cs="Arial"/>
          <w:b/>
          <w:sz w:val="18"/>
        </w:rPr>
        <w:t xml:space="preserve">Implementation </w:t>
      </w:r>
      <w:r w:rsidRPr="00912B81">
        <w:rPr>
          <w:rFonts w:ascii="Arial" w:hAnsi="Arial" w:cs="Arial"/>
          <w:b/>
          <w:sz w:val="18"/>
          <w:szCs w:val="18"/>
        </w:rPr>
        <w:t xml:space="preserve">Question: </w:t>
      </w:r>
      <w:r w:rsidRPr="00912B81">
        <w:rPr>
          <w:rFonts w:ascii="Arial" w:eastAsia="Times New Roman" w:hAnsi="Arial" w:cs="Arial"/>
          <w:b/>
          <w:sz w:val="18"/>
          <w:szCs w:val="18"/>
        </w:rPr>
        <w:t>With respect to KIT D816V mutation status testing, how are patients currently being tested for KIT D816V mutations? How are results used to guide treatment options (i.e., in this setting)? Please identify other considerations for implementation of KIT D816V mutation testing (i.e., turnaround time).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5ECC9E32" w14:textId="26DFD2D4" w:rsidR="000A56A6" w:rsidRPr="00912B81" w:rsidRDefault="00434FDC" w:rsidP="000A56A6">
      <w:pPr>
        <w:pStyle w:val="pCODR1Body"/>
        <w:ind w:left="360"/>
        <w:rPr>
          <w:rFonts w:ascii="Arial" w:hAnsi="Arial" w:cs="Arial"/>
          <w:b/>
          <w:sz w:val="18"/>
        </w:rPr>
      </w:pPr>
      <w:r w:rsidRPr="00912B81">
        <w:rPr>
          <w:rFonts w:ascii="Arial" w:hAnsi="Arial" w:cs="Arial"/>
          <w:b/>
          <w:sz w:val="18"/>
        </w:rPr>
        <w:t>4.1.</w:t>
      </w:r>
      <w:r w:rsidR="00F840DD" w:rsidRPr="00912B81">
        <w:rPr>
          <w:rFonts w:ascii="Arial" w:hAnsi="Arial" w:cs="Arial"/>
          <w:b/>
          <w:sz w:val="18"/>
        </w:rPr>
        <w:tab/>
      </w:r>
      <w:r w:rsidR="00912B81" w:rsidRPr="00912B81">
        <w:rPr>
          <w:rFonts w:ascii="Arial" w:hAnsi="Arial" w:cs="Arial"/>
          <w:b/>
          <w:sz w:val="18"/>
        </w:rPr>
        <w:t xml:space="preserve">The recommended treatment with </w:t>
      </w:r>
      <w:proofErr w:type="spellStart"/>
      <w:r w:rsidR="00912B81" w:rsidRPr="00912B81">
        <w:rPr>
          <w:rFonts w:ascii="Arial" w:hAnsi="Arial" w:cs="Arial"/>
          <w:b/>
          <w:sz w:val="18"/>
        </w:rPr>
        <w:t>midostaurin</w:t>
      </w:r>
      <w:proofErr w:type="spellEnd"/>
      <w:r w:rsidR="00912B81" w:rsidRPr="00912B81">
        <w:rPr>
          <w:rFonts w:ascii="Arial" w:hAnsi="Arial" w:cs="Arial"/>
          <w:b/>
          <w:sz w:val="18"/>
        </w:rPr>
        <w:t xml:space="preserve"> is that “treatment should continue as long as clinical benefit is observed or until unacceptable toxicity occurs”. In clinical practice, what definition of clinical benefit is used? What discontinuation criteria would be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bookmarkStart w:id="9" w:name="_GoBack"/>
      <w:bookmarkEnd w:id="9"/>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2731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3B012"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6"/>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5"/>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jnccn.org/view/journals/jnccn/16/12/article-p1500.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en/documents/smop-initial/chmp-summary-positive-opinion-rydapt_en.pdf" TargetMode="External"/><Relationship Id="rId2" Type="http://schemas.openxmlformats.org/officeDocument/2006/relationships/numbering" Target="numbering.xml"/><Relationship Id="rId16" Type="http://schemas.openxmlformats.org/officeDocument/2006/relationships/hyperlink" Target="https://www.accessdata.fda.gov/drugsatfda_docs/nda/2017/207997Orig1Orig2s000Appro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k.novartispharma.ca/download.htm?res=rydapt_scrip_e.pdf&amp;resTitleId=139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7820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28F9-D1B8-43B1-B84E-6D9C004F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2019-06-11T21:14:00Z</dcterms:modified>
</cp:coreProperties>
</file>