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EB0EEF" w:rsidRDefault="00205435" w:rsidP="004C2D93">
      <w:pPr>
        <w:pStyle w:val="DocumentTitle"/>
        <w:tabs>
          <w:tab w:val="left" w:pos="1074"/>
        </w:tabs>
        <w:spacing w:after="240"/>
        <w:rPr>
          <w:color w:val="595959" w:themeColor="text1" w:themeTint="A6"/>
          <w:szCs w:val="20"/>
        </w:rPr>
      </w:pPr>
      <w:r w:rsidRPr="00EB0EEF">
        <w:rPr>
          <w:color w:val="595959" w:themeColor="text1" w:themeTint="A6"/>
          <w:szCs w:val="20"/>
        </w:rPr>
        <w:t>Clinician</w:t>
      </w:r>
      <w:r w:rsidR="004C2D93" w:rsidRPr="00EB0EEF">
        <w:rPr>
          <w:color w:val="595959" w:themeColor="text1" w:themeTint="A6"/>
          <w:szCs w:val="20"/>
        </w:rPr>
        <w:t xml:space="preserve"> Input Template for CADTH p</w:t>
      </w:r>
      <w:r w:rsidR="00D47251" w:rsidRPr="00EB0EEF">
        <w:rPr>
          <w:color w:val="595959" w:themeColor="text1" w:themeTint="A6"/>
          <w:szCs w:val="20"/>
        </w:rPr>
        <w:t>an-</w:t>
      </w:r>
      <w:r w:rsidR="004C2D93" w:rsidRPr="00EB0EEF">
        <w:rPr>
          <w:color w:val="595959" w:themeColor="text1" w:themeTint="A6"/>
          <w:szCs w:val="20"/>
        </w:rPr>
        <w:t>C</w:t>
      </w:r>
      <w:r w:rsidR="00D47251" w:rsidRPr="00EB0EEF">
        <w:rPr>
          <w:color w:val="595959" w:themeColor="text1" w:themeTint="A6"/>
          <w:szCs w:val="20"/>
        </w:rPr>
        <w:t xml:space="preserve">anadian </w:t>
      </w:r>
      <w:r w:rsidR="004C2D93" w:rsidRPr="00EB0EEF">
        <w:rPr>
          <w:color w:val="595959" w:themeColor="text1" w:themeTint="A6"/>
          <w:szCs w:val="20"/>
        </w:rPr>
        <w:t>O</w:t>
      </w:r>
      <w:r w:rsidR="00D47251" w:rsidRPr="00EB0EEF">
        <w:rPr>
          <w:color w:val="595959" w:themeColor="text1" w:themeTint="A6"/>
          <w:szCs w:val="20"/>
        </w:rPr>
        <w:t xml:space="preserve">ncology </w:t>
      </w:r>
      <w:r w:rsidR="004C2D93" w:rsidRPr="00EB0EEF">
        <w:rPr>
          <w:color w:val="595959" w:themeColor="text1" w:themeTint="A6"/>
          <w:szCs w:val="20"/>
        </w:rPr>
        <w:t>D</w:t>
      </w:r>
      <w:r w:rsidR="00D47251" w:rsidRPr="00EB0EEF">
        <w:rPr>
          <w:color w:val="595959" w:themeColor="text1" w:themeTint="A6"/>
          <w:szCs w:val="20"/>
        </w:rPr>
        <w:t xml:space="preserve">rug </w:t>
      </w:r>
      <w:r w:rsidR="004C2D93" w:rsidRPr="00EB0EEF">
        <w:rPr>
          <w:color w:val="595959" w:themeColor="text1" w:themeTint="A6"/>
          <w:szCs w:val="20"/>
        </w:rPr>
        <w:t>R</w:t>
      </w:r>
      <w:r w:rsidR="00D47251" w:rsidRPr="00EB0EEF">
        <w:rPr>
          <w:color w:val="595959" w:themeColor="text1" w:themeTint="A6"/>
          <w:szCs w:val="20"/>
        </w:rPr>
        <w:t>eview</w:t>
      </w:r>
      <w:r w:rsidRPr="00EB0EEF">
        <w:rPr>
          <w:color w:val="595959" w:themeColor="text1" w:themeTint="A6"/>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878"/>
        <w:gridCol w:w="6598"/>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EB0EEF">
            <w:pPr>
              <w:pStyle w:val="DocumentTitle"/>
              <w:tabs>
                <w:tab w:val="left" w:pos="1074"/>
              </w:tabs>
              <w:spacing w:before="60" w:after="60"/>
              <w:jc w:val="right"/>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EB0EEF">
            <w:pPr>
              <w:pStyle w:val="DocumentTitle"/>
              <w:tabs>
                <w:tab w:val="left" w:pos="1074"/>
              </w:tabs>
              <w:spacing w:before="60" w:after="60"/>
              <w:jc w:val="right"/>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36166F0A"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xml:space="preserve">, please </w:t>
      </w:r>
      <w:r w:rsidR="00212147">
        <w:rPr>
          <w:rFonts w:ascii="Arial" w:hAnsi="Arial" w:cs="Arial"/>
          <w:sz w:val="18"/>
        </w:rPr>
        <w:t xml:space="preserve">indicate the organization this submission is on behalf of, as well as </w:t>
      </w:r>
      <w:r w:rsidRPr="00EB0EEF">
        <w:rPr>
          <w:rFonts w:ascii="Arial" w:hAnsi="Arial" w:cs="Arial"/>
          <w:sz w:val="18"/>
        </w:rPr>
        <w:t>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588"/>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41"/>
        <w:gridCol w:w="3878"/>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161"/>
        <w:gridCol w:w="6427"/>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5EE1F307" w:rsidR="00121EB1" w:rsidRPr="00EB0EEF" w:rsidRDefault="00B67492" w:rsidP="00EB0EEF">
            <w:pPr>
              <w:pStyle w:val="DocumentTitle"/>
              <w:tabs>
                <w:tab w:val="left" w:pos="1074"/>
              </w:tabs>
              <w:spacing w:before="0" w:after="0"/>
              <w:rPr>
                <w:sz w:val="18"/>
                <w:szCs w:val="20"/>
              </w:rPr>
            </w:pPr>
            <w:r>
              <w:rPr>
                <w:sz w:val="18"/>
                <w:szCs w:val="20"/>
              </w:rPr>
              <w:t>pCODR 10221</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734FF5BB" w:rsidR="00F369F8" w:rsidRPr="00EB0EEF" w:rsidRDefault="00B67492" w:rsidP="00EB0EEF">
            <w:pPr>
              <w:pStyle w:val="DocumentTitle"/>
              <w:tabs>
                <w:tab w:val="left" w:pos="1074"/>
              </w:tabs>
              <w:spacing w:before="0" w:after="0"/>
              <w:rPr>
                <w:sz w:val="18"/>
                <w:szCs w:val="20"/>
              </w:rPr>
            </w:pPr>
            <w:proofErr w:type="spellStart"/>
            <w:r>
              <w:rPr>
                <w:sz w:val="18"/>
                <w:szCs w:val="20"/>
              </w:rPr>
              <w:t>Larotectinib</w:t>
            </w:r>
            <w:proofErr w:type="spellEnd"/>
            <w:r>
              <w:rPr>
                <w:sz w:val="18"/>
                <w:szCs w:val="20"/>
              </w:rPr>
              <w:t xml:space="preserve"> (</w:t>
            </w:r>
            <w:proofErr w:type="spellStart"/>
            <w:r>
              <w:rPr>
                <w:sz w:val="18"/>
                <w:szCs w:val="20"/>
              </w:rPr>
              <w:t>Vitraki</w:t>
            </w:r>
            <w:proofErr w:type="spellEnd"/>
            <w:r>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B67492">
            <w:pPr>
              <w:pStyle w:val="DocumentTitle"/>
              <w:tabs>
                <w:tab w:val="left" w:pos="1074"/>
              </w:tabs>
              <w:spacing w:before="0" w:after="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59CFA97" w14:textId="77777777" w:rsidR="00F369F8" w:rsidRDefault="00B67492" w:rsidP="00B67492">
            <w:pPr>
              <w:pStyle w:val="DocumentTitle"/>
              <w:tabs>
                <w:tab w:val="left" w:pos="1074"/>
              </w:tabs>
              <w:spacing w:before="0" w:after="0"/>
              <w:rPr>
                <w:sz w:val="18"/>
                <w:szCs w:val="20"/>
              </w:rPr>
            </w:pPr>
            <w:proofErr w:type="spellStart"/>
            <w:r>
              <w:rPr>
                <w:sz w:val="18"/>
                <w:szCs w:val="20"/>
              </w:rPr>
              <w:t>Larotrectinib</w:t>
            </w:r>
            <w:proofErr w:type="spellEnd"/>
            <w:r>
              <w:rPr>
                <w:sz w:val="18"/>
                <w:szCs w:val="20"/>
              </w:rPr>
              <w:t xml:space="preserve"> (</w:t>
            </w:r>
            <w:proofErr w:type="spellStart"/>
            <w:r>
              <w:rPr>
                <w:sz w:val="18"/>
                <w:szCs w:val="20"/>
              </w:rPr>
              <w:t>Vitraki</w:t>
            </w:r>
            <w:proofErr w:type="spellEnd"/>
            <w:r>
              <w:rPr>
                <w:sz w:val="18"/>
                <w:szCs w:val="20"/>
              </w:rPr>
              <w:t>) for the treatment of adult and pediatric patients with solid tumors that:</w:t>
            </w:r>
          </w:p>
          <w:p w14:paraId="06595EE0" w14:textId="77777777" w:rsidR="00B67492" w:rsidRPr="00B67492" w:rsidRDefault="00B67492" w:rsidP="00B67492">
            <w:pPr>
              <w:pStyle w:val="DocumentTitle"/>
              <w:tabs>
                <w:tab w:val="left" w:pos="1074"/>
              </w:tabs>
              <w:spacing w:before="0" w:after="0"/>
              <w:rPr>
                <w:sz w:val="18"/>
                <w:szCs w:val="20"/>
              </w:rPr>
            </w:pPr>
            <w:r w:rsidRPr="00B67492">
              <w:rPr>
                <w:sz w:val="18"/>
                <w:szCs w:val="20"/>
              </w:rPr>
              <w:t>• have a Neurotrophic Tyrosine Receptor Kinase (NTRK) gene fusion without a known acquired resistance mutation,</w:t>
            </w:r>
          </w:p>
          <w:p w14:paraId="2D996FF3" w14:textId="77777777" w:rsidR="00B67492" w:rsidRPr="00B67492" w:rsidRDefault="00B67492" w:rsidP="00B67492">
            <w:pPr>
              <w:pStyle w:val="DocumentTitle"/>
              <w:tabs>
                <w:tab w:val="left" w:pos="1074"/>
              </w:tabs>
              <w:spacing w:before="0" w:after="0"/>
              <w:rPr>
                <w:sz w:val="18"/>
                <w:szCs w:val="20"/>
              </w:rPr>
            </w:pPr>
            <w:r w:rsidRPr="00B67492">
              <w:rPr>
                <w:sz w:val="18"/>
                <w:szCs w:val="20"/>
              </w:rPr>
              <w:t>• are metastatic or where surgical resection is likely to result in severe morbidity, and</w:t>
            </w:r>
          </w:p>
          <w:p w14:paraId="188CCEE5" w14:textId="72687612" w:rsidR="00B67492" w:rsidRPr="00EB0EEF" w:rsidRDefault="00B67492" w:rsidP="00B67492">
            <w:pPr>
              <w:pStyle w:val="DocumentTitle"/>
              <w:tabs>
                <w:tab w:val="left" w:pos="1074"/>
              </w:tabs>
              <w:spacing w:before="0" w:after="0"/>
              <w:rPr>
                <w:sz w:val="18"/>
                <w:szCs w:val="20"/>
              </w:rPr>
            </w:pPr>
            <w:r w:rsidRPr="00B67492">
              <w:rPr>
                <w:sz w:val="18"/>
                <w:szCs w:val="20"/>
              </w:rPr>
              <w:t>• have no satisfactory treatment options.</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7201E61A" w:rsidR="00F369F8" w:rsidRPr="00EB0EEF" w:rsidRDefault="00B67492" w:rsidP="00EB0EEF">
            <w:pPr>
              <w:pStyle w:val="DocumentTitle"/>
              <w:tabs>
                <w:tab w:val="left" w:pos="1074"/>
              </w:tabs>
              <w:spacing w:before="0" w:after="0"/>
              <w:rPr>
                <w:sz w:val="18"/>
                <w:szCs w:val="20"/>
              </w:rPr>
            </w:pPr>
            <w:r>
              <w:rPr>
                <w:sz w:val="18"/>
                <w:szCs w:val="20"/>
              </w:rPr>
              <w:t>Same as indication</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w:t>
            </w:r>
            <w:proofErr w:type="spellStart"/>
            <w:r w:rsidRPr="00EB0EEF">
              <w:rPr>
                <w:color w:val="FFFFFF" w:themeColor="background1"/>
                <w:sz w:val="18"/>
                <w:szCs w:val="20"/>
              </w:rPr>
              <w:t>pCODR</w:t>
            </w:r>
            <w:r w:rsidR="00865015"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6E95DEA8" w14:textId="77777777" w:rsidR="00DB1DC3" w:rsidRDefault="00FE5345" w:rsidP="00DB1DC3">
            <w:pPr>
              <w:pStyle w:val="DocumentTitle"/>
              <w:tabs>
                <w:tab w:val="left" w:pos="1074"/>
              </w:tabs>
              <w:spacing w:before="0" w:after="0"/>
              <w:rPr>
                <w:sz w:val="18"/>
                <w:szCs w:val="20"/>
              </w:rPr>
            </w:pPr>
            <w:hyperlink r:id="rId14" w:history="1">
              <w:r w:rsidR="00DB1DC3" w:rsidRPr="007961A5">
                <w:rPr>
                  <w:rStyle w:val="Hyperlink"/>
                  <w:sz w:val="18"/>
                  <w:szCs w:val="20"/>
                </w:rPr>
                <w:t>NCT02122913</w:t>
              </w:r>
            </w:hyperlink>
            <w:r w:rsidR="00DB1DC3">
              <w:rPr>
                <w:sz w:val="18"/>
                <w:szCs w:val="20"/>
              </w:rPr>
              <w:t>, SCOUT (</w:t>
            </w:r>
            <w:hyperlink r:id="rId15" w:history="1">
              <w:r w:rsidR="00DB1DC3" w:rsidRPr="007961A5">
                <w:rPr>
                  <w:rStyle w:val="Hyperlink"/>
                  <w:sz w:val="18"/>
                  <w:szCs w:val="20"/>
                </w:rPr>
                <w:t>NCT02637687</w:t>
              </w:r>
            </w:hyperlink>
            <w:r w:rsidR="00DB1DC3">
              <w:rPr>
                <w:sz w:val="18"/>
                <w:szCs w:val="20"/>
              </w:rPr>
              <w:t xml:space="preserve">), and </w:t>
            </w:r>
            <w:r w:rsidR="00DB1DC3" w:rsidRPr="007961A5">
              <w:rPr>
                <w:sz w:val="18"/>
                <w:szCs w:val="20"/>
              </w:rPr>
              <w:t>NAVIGATE</w:t>
            </w:r>
            <w:r w:rsidR="00DB1DC3">
              <w:rPr>
                <w:sz w:val="18"/>
                <w:szCs w:val="20"/>
              </w:rPr>
              <w:t xml:space="preserve"> (</w:t>
            </w:r>
            <w:hyperlink r:id="rId16" w:history="1">
              <w:r w:rsidR="00DB1DC3" w:rsidRPr="007961A5">
                <w:rPr>
                  <w:rStyle w:val="Hyperlink"/>
                  <w:sz w:val="18"/>
                  <w:szCs w:val="20"/>
                </w:rPr>
                <w:t>NCT02576431</w:t>
              </w:r>
            </w:hyperlink>
            <w:r w:rsidR="00DB1DC3">
              <w:rPr>
                <w:sz w:val="18"/>
                <w:szCs w:val="20"/>
              </w:rPr>
              <w:t xml:space="preserve">) </w:t>
            </w:r>
          </w:p>
          <w:p w14:paraId="52AF8FBD" w14:textId="0AE0D69C" w:rsidR="00CC380E" w:rsidRPr="00DB1DC3" w:rsidRDefault="00CC380E" w:rsidP="00DB1DC3">
            <w:pPr>
              <w:pStyle w:val="DocumentTitle"/>
              <w:tabs>
                <w:tab w:val="left" w:pos="1074"/>
              </w:tabs>
              <w:spacing w:before="0" w:after="0"/>
              <w:rPr>
                <w:sz w:val="18"/>
                <w:szCs w:val="20"/>
              </w:rPr>
            </w:pPr>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17E4DEA1" w:rsidR="00275E1C" w:rsidRPr="00DB1DC3" w:rsidRDefault="00DB1DC3" w:rsidP="00EB0EEF">
            <w:pPr>
              <w:pStyle w:val="DocumentTitle"/>
              <w:tabs>
                <w:tab w:val="left" w:pos="1074"/>
              </w:tabs>
              <w:spacing w:before="0" w:after="0"/>
              <w:rPr>
                <w:sz w:val="18"/>
                <w:szCs w:val="20"/>
              </w:rPr>
            </w:pPr>
            <w:r w:rsidRPr="00DB1DC3">
              <w:rPr>
                <w:sz w:val="18"/>
                <w:szCs w:val="20"/>
              </w:rPr>
              <w:t>Approved (7-10-2019)</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32D819E3" w14:textId="77777777" w:rsidR="00275E1C" w:rsidRPr="00DB1DC3" w:rsidRDefault="00DB1DC3" w:rsidP="00DB1DC3">
            <w:pPr>
              <w:pStyle w:val="DocumentTitle"/>
              <w:tabs>
                <w:tab w:val="left" w:pos="1074"/>
              </w:tabs>
              <w:spacing w:before="0" w:after="0"/>
              <w:rPr>
                <w:sz w:val="18"/>
                <w:szCs w:val="20"/>
              </w:rPr>
            </w:pPr>
            <w:r w:rsidRPr="00DB1DC3">
              <w:rPr>
                <w:sz w:val="18"/>
                <w:szCs w:val="20"/>
              </w:rPr>
              <w:t>Approved (11-26-2018)</w:t>
            </w:r>
          </w:p>
          <w:p w14:paraId="2EE07483" w14:textId="2765ED63" w:rsidR="00DB1DC3" w:rsidRPr="00DB1DC3" w:rsidRDefault="00DB1DC3" w:rsidP="00DB1DC3">
            <w:pPr>
              <w:pStyle w:val="DocumentTitle"/>
              <w:tabs>
                <w:tab w:val="left" w:pos="1074"/>
              </w:tabs>
              <w:spacing w:before="0" w:after="0"/>
              <w:rPr>
                <w:sz w:val="18"/>
                <w:szCs w:val="20"/>
              </w:rPr>
            </w:pPr>
            <w:r w:rsidRPr="00DB1DC3">
              <w:rPr>
                <w:sz w:val="18"/>
                <w:szCs w:val="20"/>
              </w:rPr>
              <w:t>For adult and pediatric patients with solid tumors that have a neurotrophic receptor tyrosine kinase (NTRK) gene fusion without a known acquired resistance mutation, that are either metastatic or where surgical resection is likely to result in severe morbidity, and who have no satisfactory alternative treatments or whose cancer has progressed following treatment.</w:t>
            </w: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7A768038" w:rsidR="00F369F8" w:rsidRPr="00DB1DC3" w:rsidRDefault="00DB1DC3" w:rsidP="00EB0EEF">
            <w:pPr>
              <w:pStyle w:val="DocumentTitle"/>
              <w:tabs>
                <w:tab w:val="left" w:pos="1074"/>
              </w:tabs>
              <w:spacing w:before="0" w:after="0"/>
              <w:rPr>
                <w:sz w:val="18"/>
                <w:szCs w:val="20"/>
              </w:rPr>
            </w:pPr>
            <w:r w:rsidRPr="00DB1DC3">
              <w:rPr>
                <w:sz w:val="18"/>
                <w:szCs w:val="20"/>
              </w:rPr>
              <w:t>Approved (9-19-2019)</w:t>
            </w: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FB5E4C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00D47251"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2252E113" w14:textId="77777777" w:rsidR="00DB1DC3" w:rsidRPr="007961A5" w:rsidRDefault="00DB1DC3" w:rsidP="00DB1DC3">
            <w:pPr>
              <w:pStyle w:val="DocumentTitle"/>
              <w:tabs>
                <w:tab w:val="left" w:pos="1074"/>
              </w:tabs>
              <w:spacing w:before="0" w:after="0"/>
              <w:rPr>
                <w:sz w:val="18"/>
                <w:szCs w:val="20"/>
              </w:rPr>
            </w:pPr>
            <w:r w:rsidRPr="007961A5">
              <w:rPr>
                <w:sz w:val="18"/>
                <w:szCs w:val="20"/>
              </w:rPr>
              <w:t xml:space="preserve">NCCN Guidelines for: </w:t>
            </w:r>
            <w:hyperlink r:id="rId17" w:history="1">
              <w:r w:rsidRPr="007961A5">
                <w:rPr>
                  <w:rStyle w:val="Hyperlink"/>
                  <w:sz w:val="18"/>
                  <w:szCs w:val="20"/>
                </w:rPr>
                <w:t>Colon</w:t>
              </w:r>
            </w:hyperlink>
            <w:r w:rsidRPr="007961A5">
              <w:rPr>
                <w:sz w:val="18"/>
                <w:szCs w:val="20"/>
              </w:rPr>
              <w:t xml:space="preserve">, </w:t>
            </w:r>
            <w:hyperlink r:id="rId18" w:history="1">
              <w:r w:rsidRPr="007961A5">
                <w:rPr>
                  <w:rStyle w:val="Hyperlink"/>
                  <w:sz w:val="18"/>
                  <w:szCs w:val="20"/>
                </w:rPr>
                <w:t>Head and Neck</w:t>
              </w:r>
            </w:hyperlink>
            <w:r w:rsidRPr="007961A5">
              <w:rPr>
                <w:sz w:val="18"/>
                <w:szCs w:val="20"/>
              </w:rPr>
              <w:t xml:space="preserve">, </w:t>
            </w:r>
            <w:hyperlink r:id="rId19" w:history="1">
              <w:r w:rsidRPr="007961A5">
                <w:rPr>
                  <w:rStyle w:val="Hyperlink"/>
                  <w:sz w:val="18"/>
                  <w:szCs w:val="20"/>
                </w:rPr>
                <w:t>Melanoma</w:t>
              </w:r>
            </w:hyperlink>
            <w:r w:rsidRPr="007961A5">
              <w:rPr>
                <w:sz w:val="18"/>
                <w:szCs w:val="20"/>
              </w:rPr>
              <w:t xml:space="preserve">, </w:t>
            </w:r>
            <w:hyperlink r:id="rId20" w:history="1">
              <w:r w:rsidRPr="007961A5">
                <w:rPr>
                  <w:rStyle w:val="Hyperlink"/>
                  <w:sz w:val="18"/>
                  <w:szCs w:val="20"/>
                </w:rPr>
                <w:t>NSCLC</w:t>
              </w:r>
            </w:hyperlink>
            <w:r w:rsidRPr="007961A5">
              <w:rPr>
                <w:sz w:val="18"/>
                <w:szCs w:val="20"/>
              </w:rPr>
              <w:t xml:space="preserve">, </w:t>
            </w:r>
            <w:hyperlink r:id="rId21" w:history="1">
              <w:r w:rsidRPr="007961A5">
                <w:rPr>
                  <w:rStyle w:val="Hyperlink"/>
                  <w:sz w:val="18"/>
                  <w:szCs w:val="20"/>
                </w:rPr>
                <w:t>Thyroid</w:t>
              </w:r>
            </w:hyperlink>
            <w:r w:rsidRPr="007961A5">
              <w:rPr>
                <w:sz w:val="18"/>
                <w:szCs w:val="20"/>
              </w:rPr>
              <w:t xml:space="preserve">, </w:t>
            </w:r>
            <w:hyperlink r:id="rId22" w:history="1">
              <w:r w:rsidRPr="007961A5">
                <w:rPr>
                  <w:rStyle w:val="Hyperlink"/>
                  <w:sz w:val="18"/>
                  <w:szCs w:val="20"/>
                </w:rPr>
                <w:t>Sarcoma</w:t>
              </w:r>
            </w:hyperlink>
            <w:r w:rsidRPr="007961A5">
              <w:rPr>
                <w:sz w:val="18"/>
                <w:szCs w:val="20"/>
              </w:rPr>
              <w:t xml:space="preserve">, </w:t>
            </w:r>
            <w:hyperlink r:id="rId23" w:history="1">
              <w:r w:rsidRPr="007961A5">
                <w:rPr>
                  <w:rStyle w:val="Hyperlink"/>
                  <w:sz w:val="18"/>
                  <w:szCs w:val="20"/>
                </w:rPr>
                <w:t>Breast</w:t>
              </w:r>
            </w:hyperlink>
            <w:r w:rsidRPr="007961A5">
              <w:rPr>
                <w:sz w:val="18"/>
                <w:szCs w:val="20"/>
              </w:rPr>
              <w:t xml:space="preserve">, </w:t>
            </w:r>
            <w:hyperlink r:id="rId24" w:history="1">
              <w:r w:rsidRPr="007961A5">
                <w:rPr>
                  <w:rStyle w:val="Hyperlink"/>
                  <w:sz w:val="18"/>
                  <w:szCs w:val="20"/>
                </w:rPr>
                <w:t>Pancreatic</w:t>
              </w:r>
            </w:hyperlink>
            <w:r w:rsidRPr="007961A5">
              <w:rPr>
                <w:sz w:val="18"/>
                <w:szCs w:val="20"/>
              </w:rPr>
              <w:t xml:space="preserve">, and </w:t>
            </w:r>
            <w:hyperlink r:id="rId25" w:history="1">
              <w:r w:rsidRPr="007961A5">
                <w:rPr>
                  <w:rStyle w:val="Hyperlink"/>
                  <w:sz w:val="18"/>
                  <w:szCs w:val="20"/>
                </w:rPr>
                <w:t>Hepatobiliary</w:t>
              </w:r>
            </w:hyperlink>
          </w:p>
          <w:p w14:paraId="609159F0" w14:textId="77777777" w:rsidR="00DB1DC3" w:rsidRDefault="00DB1DC3" w:rsidP="00DB1DC3">
            <w:pPr>
              <w:pStyle w:val="DocumentTitle"/>
              <w:tabs>
                <w:tab w:val="left" w:pos="1074"/>
              </w:tabs>
              <w:spacing w:before="0" w:after="0"/>
              <w:rPr>
                <w:color w:val="C00000"/>
                <w:sz w:val="18"/>
                <w:szCs w:val="20"/>
              </w:rPr>
            </w:pPr>
          </w:p>
          <w:p w14:paraId="43342354" w14:textId="77777777" w:rsidR="00DB1DC3" w:rsidRPr="007961A5" w:rsidRDefault="00DB1DC3" w:rsidP="00DB1DC3">
            <w:pPr>
              <w:pStyle w:val="DocumentTitle"/>
              <w:tabs>
                <w:tab w:val="left" w:pos="1074"/>
              </w:tabs>
              <w:spacing w:before="0" w:after="0"/>
              <w:rPr>
                <w:sz w:val="18"/>
                <w:szCs w:val="20"/>
              </w:rPr>
            </w:pPr>
            <w:r w:rsidRPr="007961A5">
              <w:rPr>
                <w:sz w:val="18"/>
                <w:szCs w:val="20"/>
              </w:rPr>
              <w:t>ASCO Guidelines for:</w:t>
            </w:r>
            <w:r>
              <w:rPr>
                <w:sz w:val="18"/>
                <w:szCs w:val="20"/>
              </w:rPr>
              <w:t xml:space="preserve"> </w:t>
            </w:r>
            <w:hyperlink r:id="rId26" w:history="1">
              <w:r w:rsidRPr="007961A5">
                <w:rPr>
                  <w:rStyle w:val="Hyperlink"/>
                  <w:sz w:val="18"/>
                  <w:szCs w:val="20"/>
                </w:rPr>
                <w:t>Breast Cancer</w:t>
              </w:r>
            </w:hyperlink>
            <w:r>
              <w:rPr>
                <w:sz w:val="18"/>
                <w:szCs w:val="20"/>
              </w:rPr>
              <w:t xml:space="preserve">, </w:t>
            </w:r>
            <w:hyperlink r:id="rId27" w:history="1">
              <w:r w:rsidRPr="007961A5">
                <w:rPr>
                  <w:rStyle w:val="Hyperlink"/>
                  <w:sz w:val="18"/>
                  <w:szCs w:val="20"/>
                </w:rPr>
                <w:t>Colorectal Cancer</w:t>
              </w:r>
            </w:hyperlink>
            <w:r>
              <w:rPr>
                <w:sz w:val="18"/>
                <w:szCs w:val="20"/>
              </w:rPr>
              <w:t xml:space="preserve">, </w:t>
            </w:r>
            <w:hyperlink r:id="rId28" w:history="1">
              <w:r w:rsidRPr="007961A5">
                <w:rPr>
                  <w:rStyle w:val="Hyperlink"/>
                  <w:sz w:val="18"/>
                  <w:szCs w:val="20"/>
                </w:rPr>
                <w:t>Lung Cancer</w:t>
              </w:r>
            </w:hyperlink>
            <w:r>
              <w:rPr>
                <w:sz w:val="18"/>
                <w:szCs w:val="20"/>
              </w:rPr>
              <w:t xml:space="preserve">, </w:t>
            </w:r>
            <w:hyperlink r:id="rId29" w:history="1">
              <w:r w:rsidRPr="007961A5">
                <w:rPr>
                  <w:rStyle w:val="Hyperlink"/>
                  <w:sz w:val="18"/>
                  <w:szCs w:val="20"/>
                </w:rPr>
                <w:t>Pancreatic Cancer</w:t>
              </w:r>
            </w:hyperlink>
          </w:p>
          <w:p w14:paraId="423C30DF" w14:textId="77777777" w:rsidR="00DB1DC3" w:rsidRPr="007961A5" w:rsidRDefault="00DB1DC3" w:rsidP="00DB1DC3">
            <w:pPr>
              <w:pStyle w:val="DocumentTitle"/>
              <w:tabs>
                <w:tab w:val="left" w:pos="1074"/>
              </w:tabs>
              <w:spacing w:before="0" w:after="0"/>
              <w:rPr>
                <w:sz w:val="18"/>
                <w:szCs w:val="20"/>
              </w:rPr>
            </w:pPr>
          </w:p>
          <w:p w14:paraId="17E99E46" w14:textId="1A2BAF4F" w:rsidR="00420EEA" w:rsidRPr="00EB0EEF" w:rsidRDefault="00DB1DC3" w:rsidP="00DB1DC3">
            <w:pPr>
              <w:pStyle w:val="DocumentTitle"/>
              <w:tabs>
                <w:tab w:val="left" w:pos="1074"/>
              </w:tabs>
              <w:spacing w:before="0" w:after="0"/>
              <w:rPr>
                <w:color w:val="C00000"/>
                <w:sz w:val="18"/>
                <w:szCs w:val="20"/>
              </w:rPr>
            </w:pPr>
            <w:r>
              <w:rPr>
                <w:sz w:val="18"/>
                <w:szCs w:val="20"/>
              </w:rPr>
              <w:t xml:space="preserve">ESMO Guidelines for: </w:t>
            </w:r>
            <w:hyperlink r:id="rId30" w:history="1">
              <w:r w:rsidRPr="006F1A29">
                <w:rPr>
                  <w:rStyle w:val="Hyperlink"/>
                  <w:sz w:val="18"/>
                  <w:szCs w:val="20"/>
                </w:rPr>
                <w:t>Soft Tissue and Visceral Sarcomas</w:t>
              </w:r>
            </w:hyperlink>
            <w:r>
              <w:rPr>
                <w:sz w:val="18"/>
                <w:szCs w:val="20"/>
              </w:rPr>
              <w:t xml:space="preserve">, </w:t>
            </w:r>
            <w:hyperlink r:id="rId31" w:history="1">
              <w:r w:rsidRPr="006F1A29">
                <w:rPr>
                  <w:rStyle w:val="Hyperlink"/>
                  <w:sz w:val="18"/>
                  <w:szCs w:val="20"/>
                </w:rPr>
                <w:t>Gastrointestinal Stromal Tumours</w:t>
              </w:r>
            </w:hyperlink>
            <w:r>
              <w:rPr>
                <w:sz w:val="18"/>
                <w:szCs w:val="20"/>
              </w:rPr>
              <w:t xml:space="preserve">, </w:t>
            </w:r>
            <w:hyperlink r:id="rId32" w:history="1">
              <w:r w:rsidRPr="006F1A29">
                <w:rPr>
                  <w:rStyle w:val="Hyperlink"/>
                  <w:sz w:val="18"/>
                  <w:szCs w:val="20"/>
                </w:rPr>
                <w:t>Thyroid Cancer</w:t>
              </w:r>
            </w:hyperlink>
            <w:r>
              <w:rPr>
                <w:sz w:val="18"/>
                <w:szCs w:val="20"/>
              </w:rPr>
              <w:t xml:space="preserve">, </w:t>
            </w:r>
            <w:hyperlink r:id="rId33" w:history="1">
              <w:r w:rsidRPr="006F1A29">
                <w:rPr>
                  <w:rStyle w:val="Hyperlink"/>
                  <w:sz w:val="18"/>
                  <w:szCs w:val="20"/>
                </w:rPr>
                <w:t>Cutaneous Melanoma</w:t>
              </w:r>
            </w:hyperlink>
            <w:r>
              <w:rPr>
                <w:sz w:val="18"/>
                <w:szCs w:val="20"/>
              </w:rPr>
              <w:t xml:space="preserve">, </w:t>
            </w:r>
            <w:hyperlink r:id="rId34" w:history="1">
              <w:r w:rsidRPr="006F1A29">
                <w:rPr>
                  <w:rStyle w:val="Hyperlink"/>
                  <w:sz w:val="18"/>
                  <w:szCs w:val="20"/>
                </w:rPr>
                <w:t>Colorectal Cancer</w:t>
              </w:r>
            </w:hyperlink>
            <w:r>
              <w:rPr>
                <w:sz w:val="18"/>
                <w:szCs w:val="20"/>
              </w:rPr>
              <w:t xml:space="preserve">, </w:t>
            </w:r>
            <w:hyperlink r:id="rId35" w:history="1">
              <w:r w:rsidRPr="006F1A29">
                <w:rPr>
                  <w:rStyle w:val="Hyperlink"/>
                  <w:sz w:val="18"/>
                  <w:szCs w:val="20"/>
                </w:rPr>
                <w:t>NSCLC</w:t>
              </w:r>
            </w:hyperlink>
            <w:r>
              <w:rPr>
                <w:sz w:val="18"/>
                <w:szCs w:val="20"/>
              </w:rPr>
              <w:t xml:space="preserve">, </w:t>
            </w:r>
            <w:hyperlink r:id="rId36" w:history="1">
              <w:r w:rsidRPr="006F1A29">
                <w:rPr>
                  <w:rStyle w:val="Hyperlink"/>
                  <w:sz w:val="18"/>
                  <w:szCs w:val="20"/>
                </w:rPr>
                <w:t>Cancer of the Pancreas</w:t>
              </w:r>
            </w:hyperlink>
            <w:r>
              <w:rPr>
                <w:sz w:val="18"/>
                <w:szCs w:val="20"/>
              </w:rPr>
              <w:t xml:space="preserve">, </w:t>
            </w:r>
            <w:hyperlink r:id="rId37" w:history="1">
              <w:r w:rsidRPr="006F1A29">
                <w:rPr>
                  <w:rStyle w:val="Hyperlink"/>
                  <w:sz w:val="18"/>
                  <w:szCs w:val="20"/>
                </w:rPr>
                <w:t>Biliary Cancer</w:t>
              </w:r>
            </w:hyperlink>
            <w:r>
              <w:rPr>
                <w:sz w:val="18"/>
                <w:szCs w:val="20"/>
              </w:rPr>
              <w:t xml:space="preserve">, and </w:t>
            </w:r>
            <w:hyperlink r:id="rId38" w:history="1">
              <w:r w:rsidRPr="006F1A29">
                <w:rPr>
                  <w:rStyle w:val="Hyperlink"/>
                  <w:sz w:val="18"/>
                  <w:szCs w:val="20"/>
                </w:rPr>
                <w:t>Breast Cancer</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6B7349D1" w:rsidR="00420EEA" w:rsidRPr="00DB1DC3" w:rsidRDefault="00DB1DC3" w:rsidP="00DB1DC3">
            <w:pPr>
              <w:pStyle w:val="DocumentTitle"/>
              <w:tabs>
                <w:tab w:val="left" w:pos="1074"/>
              </w:tabs>
              <w:spacing w:before="0" w:after="0"/>
              <w:rPr>
                <w:sz w:val="18"/>
                <w:szCs w:val="20"/>
              </w:rPr>
            </w:pPr>
            <w:r w:rsidRPr="00DB1DC3">
              <w:rPr>
                <w:sz w:val="18"/>
                <w:szCs w:val="20"/>
              </w:rPr>
              <w:t xml:space="preserve">PAG identified that there is no standard of care for the treatment of adult and pediatric patients with locally advanced or metastatic solid tumours harboring a NTRK gene fusion. Treatment is dependent on the specific type of solid tumour, clinical trials may be offered to patients harboring a NTRK gene fusion. For patients who have experienced disease progression on all available treatment options, best supportive care would be available. PAG concluded that the relevant comparator for this drug submission would be best supportive care. Since the latter is meant to alleviate patient discomfort, PAG would appreciate demonstration that </w:t>
            </w:r>
            <w:proofErr w:type="spellStart"/>
            <w:r w:rsidRPr="00DB1DC3">
              <w:rPr>
                <w:sz w:val="18"/>
                <w:szCs w:val="20"/>
              </w:rPr>
              <w:t>larotrectinib</w:t>
            </w:r>
            <w:proofErr w:type="spellEnd"/>
            <w:r w:rsidRPr="00DB1DC3">
              <w:rPr>
                <w:sz w:val="18"/>
                <w:szCs w:val="20"/>
              </w:rPr>
              <w:t xml:space="preserve"> improves quality of life or other outcomes meaningful to patients, relative to usual care.</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FE5345"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lastRenderedPageBreak/>
        <w:t xml:space="preserve">  </w:t>
      </w:r>
      <w:bookmarkStart w:id="5" w:name="_Toc439923600"/>
      <w:bookmarkEnd w:id="4"/>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5"/>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6"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6"/>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14:paraId="506F357D" w14:textId="77777777" w:rsidTr="00B67492">
        <w:tc>
          <w:tcPr>
            <w:tcW w:w="9940"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101DA32A" w14:textId="77777777" w:rsidR="00B67492" w:rsidRDefault="00B67492" w:rsidP="00B67492">
      <w:pPr>
        <w:pStyle w:val="ListParagraph"/>
        <w:ind w:left="938"/>
        <w:rPr>
          <w:rFonts w:ascii="Arial" w:hAnsi="Arial" w:cs="Arial"/>
          <w:b/>
          <w:sz w:val="18"/>
        </w:rPr>
      </w:pPr>
      <w:bookmarkStart w:id="7" w:name="_Toc439923602"/>
    </w:p>
    <w:p w14:paraId="28C1147A" w14:textId="2881A181" w:rsidR="00B67492" w:rsidRPr="00E5014E" w:rsidRDefault="00B67492" w:rsidP="00B67492">
      <w:pPr>
        <w:pStyle w:val="ListParagraph"/>
        <w:ind w:left="938"/>
        <w:rPr>
          <w:rFonts w:ascii="Arial" w:eastAsia="Times New Roman" w:hAnsi="Arial" w:cs="Arial"/>
          <w:b/>
          <w:sz w:val="18"/>
          <w:szCs w:val="18"/>
        </w:rPr>
      </w:pPr>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4C4BB1CC" w14:textId="602FAA23" w:rsidR="00B67492" w:rsidRPr="00B67492" w:rsidRDefault="00B67492" w:rsidP="00B67492">
      <w:pPr>
        <w:pStyle w:val="ListParagraph"/>
        <w:numPr>
          <w:ilvl w:val="0"/>
          <w:numId w:val="42"/>
        </w:numPr>
        <w:rPr>
          <w:rFonts w:ascii="Arial" w:hAnsi="Arial" w:cs="Arial"/>
          <w:b/>
          <w:bCs/>
        </w:rPr>
      </w:pPr>
      <w:r w:rsidRPr="00B67492">
        <w:rPr>
          <w:rFonts w:ascii="Arial" w:hAnsi="Arial" w:cs="Arial"/>
          <w:b/>
          <w:bCs/>
        </w:rPr>
        <w:t xml:space="preserve">With respect to NTRK gene fusion testing, how are patients currently being tested? </w:t>
      </w:r>
      <w:bookmarkStart w:id="8" w:name="_GoBack"/>
      <w:bookmarkEnd w:id="8"/>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B67492" w:rsidRPr="000A56A6" w14:paraId="7512321F" w14:textId="77777777" w:rsidTr="00D90675">
        <w:tc>
          <w:tcPr>
            <w:tcW w:w="10166" w:type="dxa"/>
          </w:tcPr>
          <w:p w14:paraId="09751F78" w14:textId="77777777" w:rsidR="00B67492" w:rsidRPr="000A56A6" w:rsidRDefault="00B67492" w:rsidP="00D90675">
            <w:pPr>
              <w:rPr>
                <w:rFonts w:ascii="Arial" w:hAnsi="Arial" w:cs="Arial"/>
                <w:sz w:val="22"/>
                <w:szCs w:val="22"/>
              </w:rPr>
            </w:pPr>
          </w:p>
          <w:p w14:paraId="6D44FECE" w14:textId="77777777" w:rsidR="00B67492" w:rsidRPr="000A56A6" w:rsidRDefault="00B67492" w:rsidP="00D90675">
            <w:pPr>
              <w:rPr>
                <w:rFonts w:ascii="Arial" w:hAnsi="Arial" w:cs="Arial"/>
                <w:sz w:val="22"/>
                <w:szCs w:val="22"/>
              </w:rPr>
            </w:pPr>
          </w:p>
          <w:p w14:paraId="0AF0183B" w14:textId="77777777" w:rsidR="00B67492" w:rsidRPr="000A56A6" w:rsidRDefault="00B67492" w:rsidP="00D90675">
            <w:pPr>
              <w:rPr>
                <w:rFonts w:ascii="Arial" w:hAnsi="Arial" w:cs="Arial"/>
                <w:sz w:val="22"/>
                <w:szCs w:val="22"/>
              </w:rPr>
            </w:pPr>
          </w:p>
          <w:p w14:paraId="37DE386C" w14:textId="77777777" w:rsidR="00B67492" w:rsidRPr="000A56A6" w:rsidRDefault="00B67492" w:rsidP="00D90675">
            <w:pPr>
              <w:rPr>
                <w:rFonts w:ascii="Arial" w:hAnsi="Arial" w:cs="Arial"/>
                <w:sz w:val="22"/>
                <w:szCs w:val="22"/>
              </w:rPr>
            </w:pPr>
          </w:p>
          <w:p w14:paraId="6327486C" w14:textId="77777777" w:rsidR="00B67492" w:rsidRPr="000A56A6" w:rsidRDefault="00B67492" w:rsidP="00D90675">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p>
    <w:p w14:paraId="4180E5C4" w14:textId="226C3317" w:rsidR="009F058D" w:rsidRPr="00B67492" w:rsidRDefault="009F058D" w:rsidP="009F058D">
      <w:pPr>
        <w:pStyle w:val="ListParagraph"/>
        <w:numPr>
          <w:ilvl w:val="0"/>
          <w:numId w:val="42"/>
        </w:numPr>
        <w:rPr>
          <w:rFonts w:ascii="Arial" w:hAnsi="Arial" w:cs="Arial"/>
          <w:b/>
          <w:bCs/>
        </w:rPr>
      </w:pPr>
      <w:bookmarkStart w:id="9" w:name="_Toc439923603"/>
      <w:bookmarkEnd w:id="7"/>
      <w:r w:rsidRPr="00B67492">
        <w:rPr>
          <w:rFonts w:ascii="Arial" w:hAnsi="Arial" w:cs="Arial"/>
          <w:b/>
          <w:bCs/>
        </w:rPr>
        <w:t xml:space="preserve">Should all adult and pediatric patients with locally advanced or metastatic solid tumors be tested, or specific types of solid tumors?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9F058D" w:rsidRPr="000A56A6" w14:paraId="2482FE25" w14:textId="77777777" w:rsidTr="00AC1A4A">
        <w:tc>
          <w:tcPr>
            <w:tcW w:w="10166" w:type="dxa"/>
          </w:tcPr>
          <w:p w14:paraId="08FB63AD" w14:textId="77777777" w:rsidR="009F058D" w:rsidRPr="000A56A6" w:rsidRDefault="009F058D" w:rsidP="00AC1A4A">
            <w:pPr>
              <w:rPr>
                <w:rFonts w:ascii="Arial" w:hAnsi="Arial" w:cs="Arial"/>
                <w:sz w:val="22"/>
                <w:szCs w:val="22"/>
              </w:rPr>
            </w:pPr>
          </w:p>
          <w:p w14:paraId="2F2BA4A9" w14:textId="77777777" w:rsidR="009F058D" w:rsidRPr="000A56A6" w:rsidRDefault="009F058D" w:rsidP="00AC1A4A">
            <w:pPr>
              <w:rPr>
                <w:rFonts w:ascii="Arial" w:hAnsi="Arial" w:cs="Arial"/>
                <w:sz w:val="22"/>
                <w:szCs w:val="22"/>
              </w:rPr>
            </w:pPr>
          </w:p>
          <w:p w14:paraId="3858C5CE" w14:textId="77777777" w:rsidR="009F058D" w:rsidRPr="000A56A6" w:rsidRDefault="009F058D" w:rsidP="00AC1A4A">
            <w:pPr>
              <w:rPr>
                <w:rFonts w:ascii="Arial" w:hAnsi="Arial" w:cs="Arial"/>
                <w:sz w:val="22"/>
                <w:szCs w:val="22"/>
              </w:rPr>
            </w:pPr>
          </w:p>
          <w:p w14:paraId="40A94495" w14:textId="77777777" w:rsidR="009F058D" w:rsidRPr="000A56A6" w:rsidRDefault="009F058D" w:rsidP="00AC1A4A">
            <w:pPr>
              <w:rPr>
                <w:rFonts w:ascii="Arial" w:hAnsi="Arial" w:cs="Arial"/>
                <w:sz w:val="22"/>
                <w:szCs w:val="22"/>
              </w:rPr>
            </w:pPr>
          </w:p>
          <w:p w14:paraId="38B8CC50" w14:textId="77777777" w:rsidR="009F058D" w:rsidRPr="000A56A6" w:rsidRDefault="009F058D" w:rsidP="00AC1A4A">
            <w:pPr>
              <w:rPr>
                <w:rFonts w:ascii="Arial" w:hAnsi="Arial" w:cs="Arial"/>
                <w:sz w:val="22"/>
                <w:szCs w:val="22"/>
              </w:rPr>
            </w:pPr>
          </w:p>
        </w:tc>
      </w:tr>
    </w:tbl>
    <w:p w14:paraId="0AE0D783" w14:textId="77777777" w:rsidR="00D8302B" w:rsidRPr="00EB0EEF" w:rsidRDefault="00D8302B" w:rsidP="00FB5292">
      <w:pPr>
        <w:pStyle w:val="pCODR01AppendixHeader"/>
        <w:rPr>
          <w:rFonts w:ascii="Arial" w:hAnsi="Arial" w:cs="Arial"/>
          <w:spacing w:val="0"/>
        </w:rPr>
      </w:pPr>
    </w:p>
    <w:p w14:paraId="0894DAD9" w14:textId="28EB0302" w:rsidR="009F058D" w:rsidRPr="00B67492" w:rsidRDefault="00D8302B" w:rsidP="009F058D">
      <w:pPr>
        <w:pStyle w:val="ListParagraph"/>
        <w:numPr>
          <w:ilvl w:val="0"/>
          <w:numId w:val="42"/>
        </w:numPr>
        <w:rPr>
          <w:rFonts w:ascii="Arial" w:hAnsi="Arial" w:cs="Arial"/>
          <w:b/>
          <w:bCs/>
        </w:rPr>
      </w:pPr>
      <w:r w:rsidRPr="00EB0EEF">
        <w:rPr>
          <w:rFonts w:ascii="Arial" w:hAnsi="Arial" w:cs="Arial"/>
        </w:rPr>
        <w:br w:type="page"/>
      </w:r>
      <w:r w:rsidR="009F058D" w:rsidRPr="00B67492">
        <w:rPr>
          <w:rFonts w:ascii="Arial" w:hAnsi="Arial" w:cs="Arial"/>
          <w:b/>
          <w:bCs/>
        </w:rPr>
        <w:lastRenderedPageBreak/>
        <w:t xml:space="preserve"> </w:t>
      </w:r>
      <w:r w:rsidR="00FE5345" w:rsidRPr="00B67492">
        <w:rPr>
          <w:rFonts w:ascii="Arial" w:hAnsi="Arial" w:cs="Arial"/>
          <w:b/>
          <w:bCs/>
        </w:rPr>
        <w:t xml:space="preserve">Should testing be available at all cancer centres?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9F058D" w:rsidRPr="000A56A6" w14:paraId="131620E0" w14:textId="77777777" w:rsidTr="00FE5345">
        <w:tc>
          <w:tcPr>
            <w:tcW w:w="9940" w:type="dxa"/>
          </w:tcPr>
          <w:p w14:paraId="519C7087" w14:textId="77777777" w:rsidR="009F058D" w:rsidRPr="000A56A6" w:rsidRDefault="009F058D" w:rsidP="00AC1A4A">
            <w:pPr>
              <w:rPr>
                <w:rFonts w:ascii="Arial" w:hAnsi="Arial" w:cs="Arial"/>
                <w:sz w:val="22"/>
                <w:szCs w:val="22"/>
              </w:rPr>
            </w:pPr>
          </w:p>
          <w:p w14:paraId="7995BFA2" w14:textId="77777777" w:rsidR="009F058D" w:rsidRPr="000A56A6" w:rsidRDefault="009F058D" w:rsidP="00AC1A4A">
            <w:pPr>
              <w:rPr>
                <w:rFonts w:ascii="Arial" w:hAnsi="Arial" w:cs="Arial"/>
                <w:sz w:val="22"/>
                <w:szCs w:val="22"/>
              </w:rPr>
            </w:pPr>
          </w:p>
          <w:p w14:paraId="00E5ACD5" w14:textId="77777777" w:rsidR="009F058D" w:rsidRPr="000A56A6" w:rsidRDefault="009F058D" w:rsidP="00AC1A4A">
            <w:pPr>
              <w:rPr>
                <w:rFonts w:ascii="Arial" w:hAnsi="Arial" w:cs="Arial"/>
                <w:sz w:val="22"/>
                <w:szCs w:val="22"/>
              </w:rPr>
            </w:pPr>
          </w:p>
          <w:p w14:paraId="062407FA" w14:textId="77777777" w:rsidR="009F058D" w:rsidRPr="000A56A6" w:rsidRDefault="009F058D" w:rsidP="00AC1A4A">
            <w:pPr>
              <w:rPr>
                <w:rFonts w:ascii="Arial" w:hAnsi="Arial" w:cs="Arial"/>
                <w:sz w:val="22"/>
                <w:szCs w:val="22"/>
              </w:rPr>
            </w:pPr>
          </w:p>
          <w:p w14:paraId="2F52B5D3" w14:textId="77777777" w:rsidR="009F058D" w:rsidRPr="000A56A6" w:rsidRDefault="009F058D" w:rsidP="00AC1A4A">
            <w:pPr>
              <w:rPr>
                <w:rFonts w:ascii="Arial" w:hAnsi="Arial" w:cs="Arial"/>
                <w:sz w:val="22"/>
                <w:szCs w:val="22"/>
              </w:rPr>
            </w:pPr>
          </w:p>
        </w:tc>
      </w:tr>
    </w:tbl>
    <w:p w14:paraId="37FDE543" w14:textId="773FA87D" w:rsidR="00FE5345" w:rsidRPr="00B67492" w:rsidRDefault="00FE5345" w:rsidP="00FE5345">
      <w:pPr>
        <w:pStyle w:val="ListParagraph"/>
        <w:numPr>
          <w:ilvl w:val="0"/>
          <w:numId w:val="42"/>
        </w:numPr>
        <w:rPr>
          <w:rFonts w:ascii="Arial" w:hAnsi="Arial" w:cs="Arial"/>
          <w:b/>
          <w:bCs/>
        </w:rPr>
      </w:pPr>
      <w:r w:rsidRPr="00B67492">
        <w:rPr>
          <w:rFonts w:ascii="Arial" w:hAnsi="Arial" w:cs="Arial"/>
          <w:b/>
          <w:bCs/>
        </w:rPr>
        <w:t xml:space="preserve">When should testing be completed (i.e., at diagnosis or at time of relapse)?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FE5345" w:rsidRPr="000A56A6" w14:paraId="09307B3D" w14:textId="77777777" w:rsidTr="00AC1A4A">
        <w:tc>
          <w:tcPr>
            <w:tcW w:w="10166" w:type="dxa"/>
          </w:tcPr>
          <w:p w14:paraId="22511CAD" w14:textId="77777777" w:rsidR="00FE5345" w:rsidRPr="000A56A6" w:rsidRDefault="00FE5345" w:rsidP="00AC1A4A">
            <w:pPr>
              <w:rPr>
                <w:rFonts w:ascii="Arial" w:hAnsi="Arial" w:cs="Arial"/>
                <w:sz w:val="22"/>
                <w:szCs w:val="22"/>
              </w:rPr>
            </w:pPr>
          </w:p>
          <w:p w14:paraId="1CC5CA74" w14:textId="77777777" w:rsidR="00FE5345" w:rsidRPr="000A56A6" w:rsidRDefault="00FE5345" w:rsidP="00AC1A4A">
            <w:pPr>
              <w:rPr>
                <w:rFonts w:ascii="Arial" w:hAnsi="Arial" w:cs="Arial"/>
                <w:sz w:val="22"/>
                <w:szCs w:val="22"/>
              </w:rPr>
            </w:pPr>
          </w:p>
          <w:p w14:paraId="6AF4810E" w14:textId="77777777" w:rsidR="00FE5345" w:rsidRPr="000A56A6" w:rsidRDefault="00FE5345" w:rsidP="00AC1A4A">
            <w:pPr>
              <w:rPr>
                <w:rFonts w:ascii="Arial" w:hAnsi="Arial" w:cs="Arial"/>
                <w:sz w:val="22"/>
                <w:szCs w:val="22"/>
              </w:rPr>
            </w:pPr>
          </w:p>
          <w:p w14:paraId="4107E9C7" w14:textId="77777777" w:rsidR="00FE5345" w:rsidRPr="000A56A6" w:rsidRDefault="00FE5345" w:rsidP="00AC1A4A">
            <w:pPr>
              <w:rPr>
                <w:rFonts w:ascii="Arial" w:hAnsi="Arial" w:cs="Arial"/>
                <w:sz w:val="22"/>
                <w:szCs w:val="22"/>
              </w:rPr>
            </w:pPr>
          </w:p>
          <w:p w14:paraId="67A03C26" w14:textId="77777777" w:rsidR="00FE5345" w:rsidRPr="000A56A6" w:rsidRDefault="00FE5345" w:rsidP="00AC1A4A">
            <w:pPr>
              <w:rPr>
                <w:rFonts w:ascii="Arial" w:hAnsi="Arial" w:cs="Arial"/>
                <w:sz w:val="22"/>
                <w:szCs w:val="22"/>
              </w:rPr>
            </w:pPr>
          </w:p>
        </w:tc>
      </w:tr>
    </w:tbl>
    <w:p w14:paraId="23F4892F" w14:textId="77777777" w:rsidR="00FE5345" w:rsidRDefault="00FE5345" w:rsidP="00FE5345">
      <w:pPr>
        <w:pStyle w:val="BodyCopy"/>
        <w:spacing w:after="120" w:line="240" w:lineRule="auto"/>
        <w:ind w:left="360"/>
        <w:rPr>
          <w:b/>
          <w:color w:val="0067B9"/>
          <w:sz w:val="24"/>
          <w:szCs w:val="28"/>
        </w:rPr>
      </w:pPr>
    </w:p>
    <w:p w14:paraId="37480FF9" w14:textId="77777777" w:rsidR="00D8302B" w:rsidRPr="00EB0EEF" w:rsidRDefault="00D8302B">
      <w:pPr>
        <w:rPr>
          <w:rFonts w:ascii="Arial" w:eastAsia="Times New Roman" w:hAnsi="Arial" w:cs="Arial"/>
          <w:b/>
          <w:kern w:val="28"/>
          <w:sz w:val="28"/>
        </w:rPr>
      </w:pPr>
    </w:p>
    <w:p w14:paraId="179EB68B" w14:textId="6EB8815F" w:rsidR="00664CA0" w:rsidRPr="000028EA" w:rsidRDefault="00664CA0" w:rsidP="000028EA">
      <w:pPr>
        <w:pStyle w:val="BodyCopy"/>
        <w:spacing w:after="120" w:line="240" w:lineRule="auto"/>
        <w:rPr>
          <w:b/>
          <w:color w:val="0067B9"/>
          <w:sz w:val="24"/>
          <w:szCs w:val="28"/>
        </w:rPr>
      </w:pPr>
      <w:r w:rsidRPr="000028EA">
        <w:rPr>
          <w:b/>
          <w:color w:val="0067B9"/>
          <w:sz w:val="24"/>
          <w:szCs w:val="28"/>
        </w:rPr>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3951"/>
        <w:gridCol w:w="6613"/>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1"/>
              <w14:checkedState w14:val="2612" w14:font="MS Gothic"/>
              <w14:uncheckedState w14:val="2610" w14:font="MS Gothic"/>
            </w14:checkbox>
          </w:sdtPr>
          <w:sdtEndPr/>
          <w:sdtContent>
            <w:tc>
              <w:tcPr>
                <w:tcW w:w="294" w:type="dxa"/>
              </w:tcPr>
              <w:p w14:paraId="5662132B" w14:textId="50603CDC" w:rsidR="006076C0" w:rsidRPr="000028EA" w:rsidRDefault="000028EA"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7CF8F19D" w:rsidR="00664CA0" w:rsidRPr="000028EA" w:rsidRDefault="00664CA0" w:rsidP="000028EA">
      <w:pPr>
        <w:pStyle w:val="pCODR1Body"/>
        <w:numPr>
          <w:ilvl w:val="0"/>
          <w:numId w:val="40"/>
        </w:numPr>
        <w:ind w:left="360"/>
        <w:rPr>
          <w:rFonts w:ascii="Arial" w:hAnsi="Arial" w:cs="Arial"/>
          <w:sz w:val="18"/>
          <w:szCs w:val="18"/>
        </w:rPr>
      </w:pPr>
      <w:bookmarkStart w:id="10" w:name="_Hlk31273663"/>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005860B0">
        <w:rPr>
          <w:rFonts w:ascii="Arial" w:hAnsi="Arial" w:cs="Arial"/>
          <w:sz w:val="18"/>
          <w:szCs w:val="18"/>
        </w:rPr>
        <w:t>table</w:t>
      </w:r>
      <w:r w:rsidR="00674F7D" w:rsidRPr="000028EA">
        <w:rPr>
          <w:rFonts w:ascii="Arial" w:hAnsi="Arial" w:cs="Arial"/>
          <w:sz w:val="18"/>
          <w:szCs w:val="18"/>
        </w:rPr>
        <w:t>.</w:t>
      </w:r>
    </w:p>
    <w:tbl>
      <w:tblPr>
        <w:tblStyle w:val="TableGrid"/>
        <w:tblW w:w="10719" w:type="dxa"/>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ayout w:type="fixed"/>
        <w:tblLook w:val="04A0" w:firstRow="1" w:lastRow="0" w:firstColumn="1" w:lastColumn="0" w:noHBand="0" w:noVBand="1"/>
      </w:tblPr>
      <w:tblGrid>
        <w:gridCol w:w="2222"/>
        <w:gridCol w:w="4120"/>
        <w:gridCol w:w="1055"/>
        <w:gridCol w:w="1054"/>
        <w:gridCol w:w="1008"/>
        <w:gridCol w:w="1260"/>
      </w:tblGrid>
      <w:tr w:rsidR="000D6768" w:rsidRPr="00942AE0" w14:paraId="241A75C9" w14:textId="77777777" w:rsidTr="000D6768">
        <w:tc>
          <w:tcPr>
            <w:tcW w:w="2222" w:type="dxa"/>
            <w:vMerge w:val="restart"/>
            <w:tcBorders>
              <w:top w:val="single" w:sz="4" w:space="0" w:color="0067B9"/>
              <w:left w:val="single" w:sz="4" w:space="0" w:color="0067B9"/>
              <w:bottom w:val="single" w:sz="4" w:space="0" w:color="0067B9"/>
              <w:right w:val="single" w:sz="4" w:space="0" w:color="FFFFFF" w:themeColor="background1"/>
            </w:tcBorders>
            <w:shd w:val="clear" w:color="auto" w:fill="0067B9"/>
            <w:hideMark/>
          </w:tcPr>
          <w:p w14:paraId="2FB3FA41"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Company</w:t>
            </w:r>
          </w:p>
        </w:tc>
        <w:tc>
          <w:tcPr>
            <w:tcW w:w="4120" w:type="dxa"/>
            <w:vMerge w:val="restart"/>
            <w:tcBorders>
              <w:top w:val="single" w:sz="4" w:space="0" w:color="0067B9"/>
              <w:left w:val="single" w:sz="4" w:space="0" w:color="FFFFFF" w:themeColor="background1"/>
              <w:right w:val="single" w:sz="4" w:space="0" w:color="FFFFFF" w:themeColor="background1"/>
            </w:tcBorders>
            <w:shd w:val="clear" w:color="auto" w:fill="0067B9"/>
          </w:tcPr>
          <w:p w14:paraId="29F1E422" w14:textId="420D76D4" w:rsidR="000D6768" w:rsidRPr="00942AE0" w:rsidRDefault="000D6768" w:rsidP="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Nature or description of activities or interests</w:t>
            </w:r>
          </w:p>
        </w:tc>
        <w:tc>
          <w:tcPr>
            <w:tcW w:w="4377" w:type="dxa"/>
            <w:gridSpan w:val="4"/>
            <w:tcBorders>
              <w:top w:val="single" w:sz="4" w:space="0" w:color="0067B9"/>
              <w:left w:val="single" w:sz="4" w:space="0" w:color="FFFFFF" w:themeColor="background1"/>
              <w:bottom w:val="single" w:sz="4" w:space="0" w:color="FFFFFF" w:themeColor="background1"/>
              <w:right w:val="single" w:sz="4" w:space="0" w:color="0067B9"/>
            </w:tcBorders>
            <w:shd w:val="clear" w:color="auto" w:fill="0067B9"/>
            <w:hideMark/>
          </w:tcPr>
          <w:p w14:paraId="269458AC" w14:textId="703B31C9" w:rsidR="000D6768" w:rsidRPr="00942AE0" w:rsidRDefault="000D6768">
            <w:pPr>
              <w:pStyle w:val="pCODR1Body"/>
              <w:spacing w:before="40" w:afterLines="40" w:after="96"/>
              <w:jc w:val="center"/>
              <w:rPr>
                <w:rFonts w:ascii="Arial" w:hAnsi="Arial" w:cs="Arial"/>
                <w:b/>
                <w:color w:val="FFFFFF" w:themeColor="background1"/>
                <w:sz w:val="18"/>
                <w:szCs w:val="18"/>
              </w:rPr>
            </w:pPr>
            <w:r w:rsidRPr="00942AE0">
              <w:rPr>
                <w:rFonts w:ascii="Arial" w:hAnsi="Arial" w:cs="Arial"/>
                <w:b/>
                <w:color w:val="FFFFFF" w:themeColor="background1"/>
                <w:sz w:val="18"/>
                <w:szCs w:val="18"/>
              </w:rPr>
              <w:t>Check Appropriate Dollar Range</w:t>
            </w:r>
          </w:p>
        </w:tc>
      </w:tr>
      <w:tr w:rsidR="000D6768" w:rsidRPr="00942AE0" w14:paraId="72A81D5B" w14:textId="77777777" w:rsidTr="000D6768">
        <w:trPr>
          <w:cantSplit/>
          <w:trHeight w:val="296"/>
        </w:trPr>
        <w:tc>
          <w:tcPr>
            <w:tcW w:w="2222" w:type="dxa"/>
            <w:vMerge/>
            <w:tcBorders>
              <w:top w:val="single" w:sz="4" w:space="0" w:color="0067B9"/>
              <w:left w:val="single" w:sz="4" w:space="0" w:color="0067B9"/>
              <w:bottom w:val="single" w:sz="4" w:space="0" w:color="0067B9"/>
              <w:right w:val="single" w:sz="4" w:space="0" w:color="FFFFFF" w:themeColor="background1"/>
            </w:tcBorders>
            <w:vAlign w:val="center"/>
            <w:hideMark/>
          </w:tcPr>
          <w:p w14:paraId="26255572" w14:textId="77777777" w:rsidR="000D6768" w:rsidRPr="00942AE0" w:rsidRDefault="000D6768">
            <w:pPr>
              <w:rPr>
                <w:rFonts w:ascii="Arial" w:eastAsia="Cambria" w:hAnsi="Arial" w:cs="Arial"/>
                <w:b/>
                <w:color w:val="FFFFFF" w:themeColor="background1"/>
                <w:sz w:val="18"/>
                <w:szCs w:val="18"/>
                <w:lang w:eastAsia="x-none"/>
              </w:rPr>
            </w:pPr>
          </w:p>
        </w:tc>
        <w:tc>
          <w:tcPr>
            <w:tcW w:w="4120" w:type="dxa"/>
            <w:vMerge/>
            <w:tcBorders>
              <w:left w:val="single" w:sz="4" w:space="0" w:color="FFFFFF" w:themeColor="background1"/>
              <w:bottom w:val="single" w:sz="4" w:space="0" w:color="FFFFFF" w:themeColor="background1"/>
              <w:right w:val="single" w:sz="4" w:space="0" w:color="FFFFFF" w:themeColor="background1"/>
            </w:tcBorders>
            <w:shd w:val="clear" w:color="auto" w:fill="0067B9"/>
          </w:tcPr>
          <w:p w14:paraId="36024E4F" w14:textId="77777777" w:rsidR="000D6768" w:rsidRPr="00942AE0" w:rsidRDefault="000D6768">
            <w:pPr>
              <w:pStyle w:val="pCODR1Body"/>
              <w:spacing w:before="40" w:afterLines="40" w:after="96"/>
              <w:rPr>
                <w:rFonts w:ascii="Arial" w:hAnsi="Arial" w:cs="Arial"/>
                <w:b/>
                <w:color w:val="FFFFFF" w:themeColor="background1"/>
                <w:sz w:val="18"/>
                <w:szCs w:val="18"/>
              </w:rPr>
            </w:pPr>
          </w:p>
        </w:tc>
        <w:tc>
          <w:tcPr>
            <w:tcW w:w="1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014BBD73" w14:textId="3FC9A66C"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$0 to 5,000</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51AF9FBF"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$5,001 to 10,000</w:t>
            </w: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59903A5A"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$10,001 to 50,000</w:t>
            </w:r>
          </w:p>
        </w:tc>
        <w:tc>
          <w:tcPr>
            <w:tcW w:w="1260" w:type="dxa"/>
            <w:tcBorders>
              <w:top w:val="single" w:sz="4" w:space="0" w:color="FFFFFF" w:themeColor="background1"/>
              <w:left w:val="single" w:sz="4" w:space="0" w:color="FFFFFF" w:themeColor="background1"/>
              <w:bottom w:val="single" w:sz="4" w:space="0" w:color="0067B9"/>
              <w:right w:val="single" w:sz="4" w:space="0" w:color="0067B9"/>
            </w:tcBorders>
            <w:shd w:val="clear" w:color="auto" w:fill="0067B9"/>
            <w:hideMark/>
          </w:tcPr>
          <w:p w14:paraId="0D1B7D71"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In Excess of $50,000</w:t>
            </w:r>
          </w:p>
        </w:tc>
      </w:tr>
      <w:tr w:rsidR="000D6768" w:rsidRPr="00942AE0" w14:paraId="66077D30"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367B2CF0"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67F28C95" w14:textId="7B81C4FD"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2E77B6D9" w14:textId="3F3CBFE5" w:rsidR="000D6768" w:rsidRPr="00942AE0" w:rsidRDefault="00FE5345" w:rsidP="000D6768">
            <w:pPr>
              <w:pStyle w:val="Default"/>
              <w:jc w:val="center"/>
              <w:rPr>
                <w:rFonts w:eastAsia="SimSun"/>
                <w:sz w:val="18"/>
                <w:szCs w:val="18"/>
                <w:lang w:eastAsia="zh-CN"/>
              </w:rPr>
            </w:pPr>
            <w:sdt>
              <w:sdtPr>
                <w:rPr>
                  <w:sz w:val="18"/>
                  <w:szCs w:val="18"/>
                </w:rPr>
                <w:id w:val="968476692"/>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41AE7D7F" w14:textId="07747FED" w:rsidR="000D6768" w:rsidRPr="00942AE0" w:rsidRDefault="00FE5345" w:rsidP="000D6768">
            <w:pPr>
              <w:pStyle w:val="pCODR1Body"/>
              <w:spacing w:before="40" w:after="40"/>
              <w:jc w:val="center"/>
              <w:rPr>
                <w:rFonts w:ascii="Arial" w:hAnsi="Arial" w:cs="Arial"/>
                <w:sz w:val="18"/>
                <w:szCs w:val="18"/>
              </w:rPr>
            </w:pPr>
            <w:sdt>
              <w:sdtPr>
                <w:rPr>
                  <w:rFonts w:ascii="Arial" w:hAnsi="Arial" w:cs="Arial"/>
                  <w:sz w:val="18"/>
                  <w:szCs w:val="18"/>
                </w:rPr>
                <w:id w:val="310371833"/>
                <w14:checkbox>
                  <w14:checked w14:val="0"/>
                  <w14:checkedState w14:val="2612" w14:font="MS Gothic"/>
                  <w14:uncheckedState w14:val="2610" w14:font="MS Gothic"/>
                </w14:checkbox>
              </w:sdtPr>
              <w:sdtEndPr/>
              <w:sdtContent>
                <w:r w:rsidR="000D6768" w:rsidRPr="00942AE0">
                  <w:rPr>
                    <w:rFonts w:ascii="MS Gothic" w:eastAsia="MS Gothic" w:hAnsi="MS Gothic" w:cs="Arial"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5E1142BB" w14:textId="3714419A" w:rsidR="000D6768" w:rsidRPr="00942AE0" w:rsidRDefault="00FE5345" w:rsidP="000D6768">
            <w:pPr>
              <w:pStyle w:val="pCODR1Body"/>
              <w:spacing w:before="40" w:after="40"/>
              <w:jc w:val="center"/>
              <w:rPr>
                <w:rFonts w:ascii="Arial" w:hAnsi="Arial" w:cs="Arial"/>
                <w:sz w:val="18"/>
                <w:szCs w:val="18"/>
              </w:rPr>
            </w:pPr>
            <w:sdt>
              <w:sdtPr>
                <w:rPr>
                  <w:rFonts w:ascii="Arial" w:hAnsi="Arial" w:cs="Arial"/>
                  <w:sz w:val="18"/>
                  <w:szCs w:val="18"/>
                </w:rPr>
                <w:id w:val="55173169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5739F8B8" w14:textId="3DB1A2BF" w:rsidR="000D6768" w:rsidRPr="00942AE0" w:rsidRDefault="00FE5345" w:rsidP="000D6768">
            <w:pPr>
              <w:pStyle w:val="pCODR1Body"/>
              <w:spacing w:before="40" w:after="40"/>
              <w:jc w:val="center"/>
              <w:rPr>
                <w:rFonts w:ascii="Arial" w:hAnsi="Arial" w:cs="Arial"/>
                <w:sz w:val="18"/>
                <w:szCs w:val="18"/>
              </w:rPr>
            </w:pPr>
            <w:sdt>
              <w:sdtPr>
                <w:rPr>
                  <w:rFonts w:ascii="Arial" w:hAnsi="Arial" w:cs="Arial"/>
                  <w:sz w:val="18"/>
                  <w:szCs w:val="18"/>
                </w:rPr>
                <w:id w:val="2088726357"/>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r w:rsidR="000D6768" w:rsidRPr="00942AE0" w14:paraId="0D2FFDC4"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485A8C2E"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55A39C09" w14:textId="77777777"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54C09035" w14:textId="53F2A483" w:rsidR="000D6768" w:rsidRPr="00942AE0" w:rsidRDefault="00FE5345" w:rsidP="000D6768">
            <w:pPr>
              <w:pStyle w:val="pCODR1Body"/>
              <w:spacing w:before="40" w:after="40"/>
              <w:jc w:val="center"/>
              <w:rPr>
                <w:rFonts w:ascii="Arial" w:hAnsi="Arial" w:cs="Arial"/>
                <w:sz w:val="18"/>
                <w:szCs w:val="18"/>
              </w:rPr>
            </w:pPr>
            <w:sdt>
              <w:sdtPr>
                <w:rPr>
                  <w:rFonts w:ascii="Arial" w:hAnsi="Arial" w:cs="Arial"/>
                  <w:sz w:val="18"/>
                  <w:szCs w:val="18"/>
                </w:rPr>
                <w:id w:val="-2111805864"/>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7A6936BD" w14:textId="32002CB5" w:rsidR="000D6768" w:rsidRPr="00942AE0" w:rsidRDefault="00FE5345" w:rsidP="000D6768">
            <w:pPr>
              <w:pStyle w:val="pCODR1Body"/>
              <w:spacing w:before="40" w:after="40"/>
              <w:jc w:val="center"/>
              <w:rPr>
                <w:rFonts w:ascii="Arial" w:hAnsi="Arial" w:cs="Arial"/>
                <w:sz w:val="18"/>
                <w:szCs w:val="18"/>
              </w:rPr>
            </w:pPr>
            <w:sdt>
              <w:sdtPr>
                <w:rPr>
                  <w:rFonts w:ascii="Arial" w:hAnsi="Arial" w:cs="Arial"/>
                  <w:sz w:val="18"/>
                  <w:szCs w:val="18"/>
                </w:rPr>
                <w:id w:val="-1100489578"/>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3165E9AC" w14:textId="4BBFDBBE" w:rsidR="000D6768" w:rsidRPr="00942AE0" w:rsidRDefault="00FE5345" w:rsidP="000D6768">
            <w:pPr>
              <w:pStyle w:val="pCODR1Body"/>
              <w:spacing w:before="40" w:after="40"/>
              <w:jc w:val="center"/>
              <w:rPr>
                <w:rFonts w:ascii="Arial" w:hAnsi="Arial" w:cs="Arial"/>
                <w:sz w:val="18"/>
                <w:szCs w:val="18"/>
              </w:rPr>
            </w:pPr>
            <w:sdt>
              <w:sdtPr>
                <w:rPr>
                  <w:rFonts w:ascii="Arial" w:hAnsi="Arial" w:cs="Arial"/>
                  <w:sz w:val="18"/>
                  <w:szCs w:val="18"/>
                </w:rPr>
                <w:id w:val="-808774179"/>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2DC22C73" w14:textId="1A5DE683" w:rsidR="000D6768" w:rsidRPr="00942AE0" w:rsidRDefault="00FE5345" w:rsidP="000D6768">
            <w:pPr>
              <w:pStyle w:val="pCODR1Body"/>
              <w:spacing w:before="40" w:after="40"/>
              <w:jc w:val="center"/>
              <w:rPr>
                <w:rFonts w:ascii="Arial" w:hAnsi="Arial" w:cs="Arial"/>
                <w:sz w:val="18"/>
                <w:szCs w:val="18"/>
              </w:rPr>
            </w:pPr>
            <w:sdt>
              <w:sdtPr>
                <w:rPr>
                  <w:rFonts w:ascii="Arial" w:hAnsi="Arial" w:cs="Arial"/>
                  <w:sz w:val="18"/>
                  <w:szCs w:val="18"/>
                </w:rPr>
                <w:id w:val="421223620"/>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r w:rsidR="000D6768" w:rsidRPr="00942AE0" w14:paraId="2A7037BF"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0526EE58"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79302707" w14:textId="77777777"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41926AE7" w14:textId="65739CB7" w:rsidR="000D6768" w:rsidRPr="00942AE0" w:rsidRDefault="00FE5345" w:rsidP="000D6768">
            <w:pPr>
              <w:pStyle w:val="pCODR1Body"/>
              <w:spacing w:before="40" w:after="40"/>
              <w:jc w:val="center"/>
              <w:rPr>
                <w:rFonts w:ascii="Arial" w:hAnsi="Arial" w:cs="Arial"/>
                <w:sz w:val="18"/>
                <w:szCs w:val="18"/>
              </w:rPr>
            </w:pPr>
            <w:sdt>
              <w:sdtPr>
                <w:rPr>
                  <w:rFonts w:ascii="Arial" w:hAnsi="Arial" w:cs="Arial"/>
                  <w:sz w:val="18"/>
                  <w:szCs w:val="18"/>
                </w:rPr>
                <w:id w:val="1027302581"/>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291BFDF4" w14:textId="0419B97E" w:rsidR="000D6768" w:rsidRPr="00942AE0" w:rsidRDefault="00FE5345" w:rsidP="000D6768">
            <w:pPr>
              <w:pStyle w:val="pCODR1Body"/>
              <w:spacing w:before="40" w:after="40"/>
              <w:jc w:val="center"/>
              <w:rPr>
                <w:rFonts w:ascii="Arial" w:hAnsi="Arial" w:cs="Arial"/>
                <w:sz w:val="18"/>
                <w:szCs w:val="18"/>
              </w:rPr>
            </w:pPr>
            <w:sdt>
              <w:sdtPr>
                <w:rPr>
                  <w:rFonts w:ascii="Arial" w:hAnsi="Arial" w:cs="Arial"/>
                  <w:sz w:val="18"/>
                  <w:szCs w:val="18"/>
                </w:rPr>
                <w:id w:val="105288664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31EA51E8" w14:textId="49593067" w:rsidR="000D6768" w:rsidRPr="00942AE0" w:rsidRDefault="00FE5345" w:rsidP="000D6768">
            <w:pPr>
              <w:pStyle w:val="pCODR1Body"/>
              <w:spacing w:before="40" w:after="40"/>
              <w:jc w:val="center"/>
              <w:rPr>
                <w:rFonts w:ascii="Arial" w:hAnsi="Arial" w:cs="Arial"/>
                <w:sz w:val="18"/>
                <w:szCs w:val="18"/>
              </w:rPr>
            </w:pPr>
            <w:sdt>
              <w:sdtPr>
                <w:rPr>
                  <w:rFonts w:ascii="Arial" w:hAnsi="Arial" w:cs="Arial"/>
                  <w:sz w:val="18"/>
                  <w:szCs w:val="18"/>
                </w:rPr>
                <w:id w:val="-74063763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05550A13" w14:textId="4A8B5B23" w:rsidR="000D6768" w:rsidRPr="00942AE0" w:rsidRDefault="00FE5345" w:rsidP="000D6768">
            <w:pPr>
              <w:pStyle w:val="pCODR1Body"/>
              <w:spacing w:before="40" w:after="40"/>
              <w:jc w:val="center"/>
              <w:rPr>
                <w:rFonts w:ascii="Arial" w:hAnsi="Arial" w:cs="Arial"/>
                <w:sz w:val="18"/>
                <w:szCs w:val="18"/>
              </w:rPr>
            </w:pPr>
            <w:sdt>
              <w:sdtPr>
                <w:rPr>
                  <w:rFonts w:ascii="Arial" w:hAnsi="Arial" w:cs="Arial"/>
                  <w:sz w:val="18"/>
                  <w:szCs w:val="18"/>
                </w:rPr>
                <w:id w:val="-79375879"/>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bl>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505"/>
      </w:tblGrid>
      <w:tr w:rsidR="00335051" w14:paraId="0ABEE599" w14:textId="77777777" w:rsidTr="00335051">
        <w:tc>
          <w:tcPr>
            <w:tcW w:w="7083" w:type="dxa"/>
          </w:tcPr>
          <w:p w14:paraId="29130FA5" w14:textId="471CF6CC" w:rsidR="00335051" w:rsidRDefault="00335051" w:rsidP="00664CA0">
            <w:pPr>
              <w:pStyle w:val="Default"/>
              <w:rPr>
                <w:sz w:val="18"/>
              </w:rPr>
            </w:pPr>
            <w:r>
              <w:rPr>
                <w:sz w:val="18"/>
              </w:rPr>
              <w:t xml:space="preserve">By checking this box, </w:t>
            </w:r>
            <w:r w:rsidRPr="000028EA">
              <w:rPr>
                <w:rFonts w:eastAsia="SimSun"/>
                <w:sz w:val="18"/>
                <w:szCs w:val="18"/>
                <w:lang w:eastAsia="zh-CN"/>
              </w:rPr>
              <w:t xml:space="preserve">I </w:t>
            </w:r>
            <w:r>
              <w:rPr>
                <w:rFonts w:eastAsia="SimSun"/>
                <w:sz w:val="18"/>
                <w:szCs w:val="18"/>
                <w:lang w:eastAsia="zh-CN"/>
              </w:rPr>
              <w:t>hereby certify that the information that I have presented here is accurate and complete to the best of my knowledge</w:t>
            </w:r>
            <w:r w:rsidR="00453C82">
              <w:rPr>
                <w:rFonts w:eastAsia="SimSun"/>
                <w:sz w:val="18"/>
                <w:szCs w:val="18"/>
                <w:lang w:eastAsia="zh-CN"/>
              </w:rPr>
              <w:t>.</w:t>
            </w:r>
          </w:p>
        </w:tc>
        <w:tc>
          <w:tcPr>
            <w:tcW w:w="3505" w:type="dxa"/>
          </w:tcPr>
          <w:p w14:paraId="36838C2F" w14:textId="457E6056" w:rsidR="00335051" w:rsidRPr="00335051" w:rsidRDefault="00FE5345" w:rsidP="00335051">
            <w:pPr>
              <w:pStyle w:val="Default"/>
              <w:jc w:val="center"/>
              <w:rPr>
                <w:rFonts w:eastAsia="SimSun"/>
                <w:sz w:val="22"/>
                <w:szCs w:val="22"/>
                <w:lang w:eastAsia="zh-CN"/>
              </w:rPr>
            </w:pPr>
            <w:sdt>
              <w:sdtPr>
                <w:rPr>
                  <w:sz w:val="22"/>
                </w:rPr>
                <w:id w:val="2000922035"/>
                <w14:checkbox>
                  <w14:checked w14:val="0"/>
                  <w14:checkedState w14:val="2612" w14:font="MS Gothic"/>
                  <w14:uncheckedState w14:val="2610" w14:font="MS Gothic"/>
                </w14:checkbox>
              </w:sdtPr>
              <w:sdtEndPr/>
              <w:sdtContent>
                <w:r w:rsidR="00453C82">
                  <w:rPr>
                    <w:rFonts w:ascii="MS Gothic" w:eastAsia="MS Gothic" w:hAnsi="MS Gothic" w:hint="eastAsia"/>
                    <w:sz w:val="22"/>
                  </w:rPr>
                  <w:t>☐</w:t>
                </w:r>
              </w:sdtContent>
            </w:sdt>
          </w:p>
          <w:p w14:paraId="5B4BEC8E" w14:textId="77777777" w:rsidR="00335051" w:rsidRDefault="00335051" w:rsidP="00664CA0">
            <w:pPr>
              <w:pStyle w:val="Default"/>
              <w:rPr>
                <w:sz w:val="18"/>
              </w:rPr>
            </w:pPr>
          </w:p>
        </w:tc>
      </w:tr>
    </w:tbl>
    <w:p w14:paraId="51312B14" w14:textId="33EF983C" w:rsidR="00664CA0" w:rsidRDefault="00664CA0" w:rsidP="00664CA0">
      <w:pPr>
        <w:pStyle w:val="Default"/>
        <w:ind w:left="400"/>
        <w:rPr>
          <w:sz w:val="18"/>
          <w:szCs w:val="18"/>
          <w:lang w:val="en-CA"/>
        </w:rPr>
      </w:pPr>
    </w:p>
    <w:p w14:paraId="09B00DC4" w14:textId="77777777" w:rsidR="00335051" w:rsidRPr="00335051" w:rsidRDefault="00335051" w:rsidP="00664CA0">
      <w:pPr>
        <w:pStyle w:val="Default"/>
        <w:ind w:left="400"/>
        <w:rPr>
          <w:sz w:val="18"/>
          <w:szCs w:val="18"/>
          <w:lang w:val="en-CA"/>
        </w:rPr>
      </w:pPr>
    </w:p>
    <w:tbl>
      <w:tblPr>
        <w:tblStyle w:val="TableGrid"/>
        <w:tblW w:w="32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377"/>
        <w:gridCol w:w="3419"/>
        <w:gridCol w:w="406"/>
      </w:tblGrid>
      <w:tr w:rsidR="00262290" w:rsidRPr="00EB0EEF" w14:paraId="1C3D2200" w14:textId="77777777" w:rsidTr="00262290">
        <w:tc>
          <w:tcPr>
            <w:tcW w:w="1960" w:type="pct"/>
            <w:tcBorders>
              <w:bottom w:val="single" w:sz="4" w:space="0" w:color="000000" w:themeColor="text1"/>
            </w:tcBorders>
          </w:tcPr>
          <w:p w14:paraId="32C67C84" w14:textId="77777777" w:rsidR="00262290" w:rsidRPr="00EB0EEF" w:rsidRDefault="00262290" w:rsidP="0065385B">
            <w:pPr>
              <w:rPr>
                <w:rFonts w:ascii="Arial" w:hAnsi="Arial" w:cs="Arial"/>
              </w:rPr>
            </w:pPr>
          </w:p>
        </w:tc>
        <w:tc>
          <w:tcPr>
            <w:tcW w:w="273" w:type="pct"/>
          </w:tcPr>
          <w:p w14:paraId="52CD994A" w14:textId="77777777" w:rsidR="00262290" w:rsidRPr="00EB0EEF" w:rsidRDefault="00262290" w:rsidP="0065385B">
            <w:pPr>
              <w:rPr>
                <w:rFonts w:ascii="Arial" w:hAnsi="Arial" w:cs="Arial"/>
              </w:rPr>
            </w:pPr>
          </w:p>
        </w:tc>
        <w:tc>
          <w:tcPr>
            <w:tcW w:w="2473" w:type="pct"/>
            <w:tcBorders>
              <w:bottom w:val="single" w:sz="4" w:space="0" w:color="auto"/>
            </w:tcBorders>
          </w:tcPr>
          <w:p w14:paraId="08640B38" w14:textId="77777777" w:rsidR="00262290" w:rsidRPr="00EB0EEF" w:rsidRDefault="00262290" w:rsidP="0065385B">
            <w:pPr>
              <w:rPr>
                <w:rFonts w:ascii="Arial" w:hAnsi="Arial" w:cs="Arial"/>
              </w:rPr>
            </w:pPr>
          </w:p>
        </w:tc>
        <w:tc>
          <w:tcPr>
            <w:tcW w:w="294" w:type="pct"/>
          </w:tcPr>
          <w:p w14:paraId="03A390E0" w14:textId="65F5239C" w:rsidR="00262290" w:rsidRPr="00EB0EEF" w:rsidRDefault="00262290" w:rsidP="0065385B">
            <w:pPr>
              <w:rPr>
                <w:rFonts w:ascii="Arial" w:hAnsi="Arial" w:cs="Arial"/>
              </w:rPr>
            </w:pPr>
          </w:p>
        </w:tc>
      </w:tr>
      <w:tr w:rsidR="00262290" w:rsidRPr="00EB0EEF" w14:paraId="1721BB14" w14:textId="77777777" w:rsidTr="00262290">
        <w:tc>
          <w:tcPr>
            <w:tcW w:w="1960" w:type="pct"/>
            <w:tcBorders>
              <w:top w:val="single" w:sz="4" w:space="0" w:color="000000" w:themeColor="text1"/>
            </w:tcBorders>
          </w:tcPr>
          <w:p w14:paraId="704E0C0D" w14:textId="24E10797" w:rsidR="00262290" w:rsidRPr="00EB0EEF" w:rsidRDefault="00262290" w:rsidP="0065385B">
            <w:pPr>
              <w:rPr>
                <w:rFonts w:ascii="Arial" w:hAnsi="Arial" w:cs="Arial"/>
                <w:sz w:val="18"/>
              </w:rPr>
            </w:pPr>
            <w:r>
              <w:rPr>
                <w:rFonts w:ascii="Arial" w:hAnsi="Arial" w:cs="Arial"/>
                <w:sz w:val="18"/>
              </w:rPr>
              <w:t>Date</w:t>
            </w:r>
          </w:p>
        </w:tc>
        <w:tc>
          <w:tcPr>
            <w:tcW w:w="273" w:type="pct"/>
          </w:tcPr>
          <w:p w14:paraId="77861D3A" w14:textId="77777777" w:rsidR="00262290" w:rsidRPr="00EB0EEF" w:rsidRDefault="00262290" w:rsidP="0065385B">
            <w:pPr>
              <w:rPr>
                <w:rFonts w:ascii="Arial" w:hAnsi="Arial" w:cs="Arial"/>
                <w:sz w:val="18"/>
              </w:rPr>
            </w:pPr>
          </w:p>
        </w:tc>
        <w:tc>
          <w:tcPr>
            <w:tcW w:w="2473" w:type="pct"/>
            <w:tcBorders>
              <w:top w:val="single" w:sz="4" w:space="0" w:color="auto"/>
            </w:tcBorders>
          </w:tcPr>
          <w:p w14:paraId="39223C86" w14:textId="7178BD24" w:rsidR="00262290" w:rsidRPr="00EB0EEF" w:rsidRDefault="00262290" w:rsidP="0065385B">
            <w:pPr>
              <w:rPr>
                <w:rFonts w:ascii="Arial" w:hAnsi="Arial" w:cs="Arial"/>
                <w:sz w:val="18"/>
              </w:rPr>
            </w:pPr>
            <w:r>
              <w:rPr>
                <w:rFonts w:ascii="Arial" w:hAnsi="Arial" w:cs="Arial"/>
                <w:sz w:val="18"/>
              </w:rPr>
              <w:t>Name</w:t>
            </w:r>
          </w:p>
        </w:tc>
        <w:tc>
          <w:tcPr>
            <w:tcW w:w="294" w:type="pct"/>
          </w:tcPr>
          <w:p w14:paraId="7D313572" w14:textId="010F0AE9" w:rsidR="00262290" w:rsidRPr="00EB0EEF" w:rsidRDefault="00262290" w:rsidP="0065385B">
            <w:pPr>
              <w:rPr>
                <w:rFonts w:ascii="Arial" w:hAnsi="Arial" w:cs="Arial"/>
                <w:sz w:val="18"/>
              </w:rPr>
            </w:pP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bookmarkEnd w:id="10"/>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9848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5</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5</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901AA"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3"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5"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6"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9"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FF479D"/>
    <w:multiLevelType w:val="hybridMultilevel"/>
    <w:tmpl w:val="2550F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2"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3"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4"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6"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9"/>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2"/>
  </w:num>
  <w:num w:numId="15">
    <w:abstractNumId w:val="41"/>
  </w:num>
  <w:num w:numId="16">
    <w:abstractNumId w:val="26"/>
  </w:num>
  <w:num w:numId="17">
    <w:abstractNumId w:val="30"/>
  </w:num>
  <w:num w:numId="18">
    <w:abstractNumId w:val="46"/>
  </w:num>
  <w:num w:numId="19">
    <w:abstractNumId w:val="28"/>
  </w:num>
  <w:num w:numId="20">
    <w:abstractNumId w:val="11"/>
  </w:num>
  <w:num w:numId="21">
    <w:abstractNumId w:val="9"/>
  </w:num>
  <w:num w:numId="22">
    <w:abstractNumId w:val="27"/>
  </w:num>
  <w:num w:numId="23">
    <w:abstractNumId w:val="44"/>
  </w:num>
  <w:num w:numId="24">
    <w:abstractNumId w:val="15"/>
  </w:num>
  <w:num w:numId="25">
    <w:abstractNumId w:val="25"/>
  </w:num>
  <w:num w:numId="26">
    <w:abstractNumId w:val="35"/>
  </w:num>
  <w:num w:numId="27">
    <w:abstractNumId w:val="19"/>
  </w:num>
  <w:num w:numId="28">
    <w:abstractNumId w:val="24"/>
  </w:num>
  <w:num w:numId="29">
    <w:abstractNumId w:val="17"/>
  </w:num>
  <w:num w:numId="30">
    <w:abstractNumId w:val="42"/>
  </w:num>
  <w:num w:numId="31">
    <w:abstractNumId w:val="37"/>
  </w:num>
  <w:num w:numId="32">
    <w:abstractNumId w:val="45"/>
    <w:lvlOverride w:ilvl="0">
      <w:startOverride w:val="1"/>
    </w:lvlOverride>
  </w:num>
  <w:num w:numId="33">
    <w:abstractNumId w:val="34"/>
    <w:lvlOverride w:ilvl="0">
      <w:startOverride w:val="1"/>
    </w:lvlOverride>
  </w:num>
  <w:num w:numId="34">
    <w:abstractNumId w:val="36"/>
  </w:num>
  <w:num w:numId="35">
    <w:abstractNumId w:val="23"/>
  </w:num>
  <w:num w:numId="36">
    <w:abstractNumId w:val="22"/>
  </w:num>
  <w:num w:numId="37">
    <w:abstractNumId w:val="21"/>
  </w:num>
  <w:num w:numId="38">
    <w:abstractNumId w:val="12"/>
  </w:num>
  <w:num w:numId="39">
    <w:abstractNumId w:val="43"/>
  </w:num>
  <w:num w:numId="40">
    <w:abstractNumId w:val="16"/>
  </w:num>
  <w:num w:numId="41">
    <w:abstractNumId w:val="38"/>
  </w:num>
  <w:num w:numId="42">
    <w:abstractNumId w:val="18"/>
  </w:num>
  <w:num w:numId="43">
    <w:abstractNumId w:val="33"/>
  </w:num>
  <w:num w:numId="44">
    <w:abstractNumId w:val="40"/>
  </w:num>
  <w:num w:numId="45">
    <w:abstractNumId w:val="20"/>
  </w:num>
  <w:num w:numId="46">
    <w:abstractNumId w:val="13"/>
  </w:num>
  <w:num w:numId="47">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proofState w:spelling="clean"/>
  <w:defaultTabStop w:val="720"/>
  <w:drawingGridHorizontalSpacing w:val="10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768"/>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A3B5E"/>
    <w:rsid w:val="001A3D83"/>
    <w:rsid w:val="001A5EAB"/>
    <w:rsid w:val="001B615E"/>
    <w:rsid w:val="001C1606"/>
    <w:rsid w:val="001C1F76"/>
    <w:rsid w:val="001C2ECF"/>
    <w:rsid w:val="001C3E12"/>
    <w:rsid w:val="001C5577"/>
    <w:rsid w:val="001D443A"/>
    <w:rsid w:val="001E2332"/>
    <w:rsid w:val="001E2C66"/>
    <w:rsid w:val="001F134E"/>
    <w:rsid w:val="002030BD"/>
    <w:rsid w:val="002030DC"/>
    <w:rsid w:val="00205435"/>
    <w:rsid w:val="00205657"/>
    <w:rsid w:val="00206B83"/>
    <w:rsid w:val="002117A9"/>
    <w:rsid w:val="00212147"/>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2290"/>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4597"/>
    <w:rsid w:val="003250B9"/>
    <w:rsid w:val="00327B25"/>
    <w:rsid w:val="00335051"/>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3C82"/>
    <w:rsid w:val="00455365"/>
    <w:rsid w:val="004558A6"/>
    <w:rsid w:val="0046006C"/>
    <w:rsid w:val="00464308"/>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42B7"/>
    <w:rsid w:val="00575C15"/>
    <w:rsid w:val="0057695B"/>
    <w:rsid w:val="005860B0"/>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42C"/>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42AE0"/>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5C12"/>
    <w:rsid w:val="009D6B6E"/>
    <w:rsid w:val="009E32E9"/>
    <w:rsid w:val="009E3A1C"/>
    <w:rsid w:val="009E429B"/>
    <w:rsid w:val="009E57A4"/>
    <w:rsid w:val="009F058D"/>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67492"/>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5D96"/>
    <w:rsid w:val="00C26D27"/>
    <w:rsid w:val="00C27B83"/>
    <w:rsid w:val="00C31270"/>
    <w:rsid w:val="00C320AD"/>
    <w:rsid w:val="00C32B06"/>
    <w:rsid w:val="00C346F8"/>
    <w:rsid w:val="00C446A2"/>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1DC3"/>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5345"/>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621496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nccn.org/professionals/physician_gls/pdf/head-and-neck.pdf" TargetMode="External"/><Relationship Id="rId26" Type="http://schemas.openxmlformats.org/officeDocument/2006/relationships/hyperlink" Target="http://ascopubs.org/doi/pdf/10.1200/JCO.2014.56.747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cn.org/professionals/physician_gls/pdf/thyroid.pdf" TargetMode="External"/><Relationship Id="rId34" Type="http://schemas.openxmlformats.org/officeDocument/2006/relationships/hyperlink" Target="http://www.esmo.org/Guidelines/Gastrointestinal-Cancers/Management-of-Patients-with-Metastatic-Colorectal-Cancer"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ccn.org/professionals/physician_gls/pdf/colon.pdf" TargetMode="External"/><Relationship Id="rId25" Type="http://schemas.openxmlformats.org/officeDocument/2006/relationships/hyperlink" Target="https://www.nccn.org/professionals/physician_gls/pdf/hepatobiliary.pdf" TargetMode="External"/><Relationship Id="rId33" Type="http://schemas.openxmlformats.org/officeDocument/2006/relationships/hyperlink" Target="http://www.esmo.org/Guidelines/Melanoma/Cutaneous-Melanoma" TargetMode="External"/><Relationship Id="rId38" Type="http://schemas.openxmlformats.org/officeDocument/2006/relationships/hyperlink" Target="http://esmo.org/Guidelines/Breast-Cancer/3rd-ESO-ESMO-International-Consensus-Guidelines-for-Advanced-Breast-Cancer-ABC-3" TargetMode="External"/><Relationship Id="rId2" Type="http://schemas.openxmlformats.org/officeDocument/2006/relationships/numbering" Target="numbering.xml"/><Relationship Id="rId16" Type="http://schemas.openxmlformats.org/officeDocument/2006/relationships/hyperlink" Target="https://clinicaltrials.gov/ct2/show/NCT02576431" TargetMode="External"/><Relationship Id="rId20" Type="http://schemas.openxmlformats.org/officeDocument/2006/relationships/hyperlink" Target="https://www.nccn.org/professionals/physician_gls/pdf/nscl.pdf" TargetMode="External"/><Relationship Id="rId29" Type="http://schemas.openxmlformats.org/officeDocument/2006/relationships/hyperlink" Target="http://ascopubs.org/doi/full/10.1200/JCO.2018.78.96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ccn.org/professionals/physician_gls/pdf/pancreatic.pdf" TargetMode="External"/><Relationship Id="rId32" Type="http://schemas.openxmlformats.org/officeDocument/2006/relationships/hyperlink" Target="http://www.esmo.org/Guidelines/Endocrine-and-Neuroendocrine-Cancers/Thyroid-cancer" TargetMode="External"/><Relationship Id="rId37" Type="http://schemas.openxmlformats.org/officeDocument/2006/relationships/hyperlink" Target="http://esmo.org/Guidelines/Gastrointestinal-Cancers/Biliary-Cancer"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inicaltrials.gov/ct2/show/NCT02637687" TargetMode="External"/><Relationship Id="rId23" Type="http://schemas.openxmlformats.org/officeDocument/2006/relationships/hyperlink" Target="https://www.nccn.org/professionals/physician_gls/pdf/breast.pdf" TargetMode="External"/><Relationship Id="rId28" Type="http://schemas.openxmlformats.org/officeDocument/2006/relationships/hyperlink" Target="http://ascopubs.org/doi/full/10.1200/JCO.2015.63.7918" TargetMode="External"/><Relationship Id="rId36" Type="http://schemas.openxmlformats.org/officeDocument/2006/relationships/hyperlink" Target="http://esmo.org/Guidelines/Gastrointestinal-Cancers/Cancer-of-the-Pancreas" TargetMode="External"/><Relationship Id="rId10" Type="http://schemas.openxmlformats.org/officeDocument/2006/relationships/header" Target="header1.xml"/><Relationship Id="rId19" Type="http://schemas.openxmlformats.org/officeDocument/2006/relationships/hyperlink" Target="https://www.nccn.org/professionals/physician_gls/pdf/melanoma.pdf" TargetMode="External"/><Relationship Id="rId31" Type="http://schemas.openxmlformats.org/officeDocument/2006/relationships/hyperlink" Target="http://esmo.org/Guidelines/Sarcoma-and-GIST/Gastrointestinal-Stromal-Tumours"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122913" TargetMode="External"/><Relationship Id="rId22" Type="http://schemas.openxmlformats.org/officeDocument/2006/relationships/hyperlink" Target="https://www.nccn.org/professionals/physician_gls/pdf/sarcoma.pdf" TargetMode="External"/><Relationship Id="rId27" Type="http://schemas.openxmlformats.org/officeDocument/2006/relationships/hyperlink" Target="http://ascopubs.org/doi/full/10.1200/JCO.2014.58.1322" TargetMode="External"/><Relationship Id="rId30" Type="http://schemas.openxmlformats.org/officeDocument/2006/relationships/hyperlink" Target="http://www.esmo.org/Guidelines/Sarcoma-and-GIST/Soft-Tissue-and-Visceral-Sarcomas" TargetMode="External"/><Relationship Id="rId35" Type="http://schemas.openxmlformats.org/officeDocument/2006/relationships/hyperlink" Target="http://esmo.org/Guidelines/Lung-and-Chest-Tumours/Metastatic-Non-Small-Cell-Lung-Canc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9C3C6-762D-448A-8BA5-F8B8ABC0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2020-06-29T14:14:00Z</dcterms:created>
  <dcterms:modified xsi:type="dcterms:W3CDTF">2020-07-16T19:16:00Z</dcterms:modified>
</cp:coreProperties>
</file>